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Figure 1;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p>
      <w:pPr>
        <w:pStyle w:val="FirstParagraph"/>
      </w:pPr>
      <w:r>
        <w:t xml:space="preserve">The hearing-loss and tinnitus groups overlap: 6</w:t>
      </w:r>
      <w:r>
        <w:t xml:space="preserve">,</w:t>
      </w:r>
      <w:r>
        <w:t xml:space="preserve">722 reports contain both events and are counted in both columns.</w:t>
      </w:r>
      <w:r>
        <w:t xml:space="preserve"> </w:t>
      </w:r>
      <w:r>
        <w:t xml:space="preserve">“All other reports”</w:t>
      </w:r>
      <w:r>
        <w:t xml:space="preserve"> </w:t>
      </w:r>
      <w:r>
        <w:t xml:space="preserve">are reports with neither event, so the three columns sum to more than the 19</w:t>
      </w:r>
      <w:r>
        <w:t xml:space="preserve">,</w:t>
      </w:r>
      <w:r>
        <w:t xml:space="preserve">876</w:t>
      </w:r>
      <w:r>
        <w:t xml:space="preserve">,</w:t>
      </w:r>
      <w:r>
        <w:t xml:space="preserve">330 reports analysed.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Adjustment and external replication of drug–hearing-loss signals: a disproportionality analysis of FAERS and Canada Vigilance</dc:title>
  <dc:creator>Oleg Tropynin</dc:creator>
  <cp:keywords/>
  <dcterms:created xsi:type="dcterms:W3CDTF">2026-10-28T09:55:37Z</dcterms:created>
  <dcterms:modified xsi:type="dcterms:W3CDTF">2026-10-28T09:55:37Z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