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Recent disproportionality analyses of the US Food and Drug Administration Adverse Event</w:t>
      </w:r>
      <w:r>
        <w:t xml:space="preserve"> </w:t>
      </w:r>
      <w:r>
        <w:t xml:space="preserve">Reporting System (FAERS) reported many drug–hearing-loss signals absent from labels. We assessed which survive adjustment for</w:t>
      </w:r>
      <w:r>
        <w:t xml:space="preserve"> </w:t>
      </w:r>
      <w:r>
        <w:t xml:space="preserve">hearing-specific biases 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receiver operating characteristic curve, AUC) and by replication in Canada Vigilance, observed and power-calibrated; robust</w:t>
      </w:r>
      <w:r>
        <w:t xml:space="preserve"> </w:t>
      </w:r>
      <w:r>
        <w:t xml:space="preserve">unlabelled signals underwent 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changed the hearing-loss signal list (300 crude, 310</w:t>
      </w:r>
      <w:r>
        <w:t xml:space="preserve"> </w:t>
      </w:r>
      <w:r>
        <w:t xml:space="preserve">adjusted, 63 lost) but not agreement with labels (AUC 0.718 vs</w:t>
      </w:r>
      <w:r>
        <w:t xml:space="preserve"> </w:t>
      </w:r>
      <w:r>
        <w:t xml:space="preserve">0.723). Labelled signals replicated in Canada as often as predicted (observed/expected</w:t>
      </w:r>
      <w:r>
        <w:t xml:space="preserve"> </w:t>
      </w:r>
      <w:r>
        <w:t xml:space="preserve">1.02, 95% CI 0.77–1.32);</w:t>
      </w:r>
      <w:r>
        <w:t xml:space="preserve"> </w:t>
      </w:r>
      <w:r>
        <w:t xml:space="preserve">unlabelled signals did not (0.44, 0.29–0.62;</w:t>
      </w:r>
      <w:r>
        <w:t xml:space="preserve"> </w:t>
      </w:r>
      <w:r>
        <w:t xml:space="preserve">post hoc, both databases adjusted: 0.26). Solicited patient-support-programme</w:t>
      </w:r>
      <w:r>
        <w:t xml:space="preserve"> </w:t>
      </w:r>
      <w:r>
        <w:t xml:space="preserve">reports, report clusters and shared co-medication produced spurious replications. Of 22 robust unlabelled signals (post</w:t>
      </w:r>
      <w:r>
        <w:t xml:space="preserve"> </w:t>
      </w:r>
      <w:r>
        <w:t xml:space="preserve">hoc), 15 were attributed to report clusters, stimulated reporting, indication or an established class; 7 remained,</w:t>
      </w:r>
      <w:r>
        <w:t xml:space="preserve"> </w:t>
      </w:r>
      <w:r>
        <w:t xml:space="preserve">led by pregabalin.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Most unlabelled FAERS hearing-loss signals do not survive adjustment, adjusted replication and</w:t>
      </w:r>
      <w:r>
        <w:t xml:space="preserve"> </w:t>
      </w:r>
      <w:r>
        <w:t xml:space="preserve">provenance review. These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Heading1"/>
      </w:pPr>
      <w:bookmarkStart w:id="9" w:name="_b8fab73fd7f041a99c440207f79453682339a71"/>
      <w:r>
        <w:t xml:space="preserve">Key points</w:t>
      </w:r>
      <w:bookmarkEnd w:id="9"/>
    </w:p>
    <w:p>
      <w:pPr>
        <w:pStyle w:val="FirstParagraph"/>
        <w:numPr>
          <w:ilvl w:val="0"/>
          <w:numId w:val="1001"/>
        </w:numPr>
      </w:pPr>
      <w:r>
        <w:t xml:space="preserve">Adjusting FAERS hearing-loss screens for indication, ototoxic co-medication and stimulated reporting changes which drugs</w:t>
      </w:r>
      <w:r>
        <w:t xml:space="preserve"> </w:t>
      </w:r>
      <w:r>
        <w:t xml:space="preserve">are flagged but not their agreement with drug labels.</w:t>
      </w:r>
    </w:p>
    <w:p>
      <w:pPr>
        <w:pStyle w:val="FirstParagraph"/>
        <w:numPr>
          <w:ilvl w:val="0"/>
          <w:numId w:val="1001"/>
        </w:numPr>
      </w:pPr>
      <w:r>
        <w:t xml:space="preserve">In Canada Vigilance, labelled hearing-loss signals replicated about as often as predicted, unlabelled ones less than half</w:t>
      </w:r>
      <w:r>
        <w:t xml:space="preserve"> </w:t>
      </w:r>
      <w:r>
        <w:t xml:space="preserve">as often; solicited patient-support-programme reports and shared co-medication produced spurious replications.</w:t>
      </w:r>
    </w:p>
    <w:p>
      <w:pPr>
        <w:pStyle w:val="FirstParagraph"/>
        <w:numPr>
          <w:ilvl w:val="0"/>
          <w:numId w:val="1001"/>
        </w:numPr>
      </w:pPr>
      <w:r>
        <w:t xml:space="preserve">After adjusted replication and case-by-case review of report provenance, 7 of 22 robust unlabelled signals</w:t>
      </w:r>
      <w:r>
        <w:t xml:space="preserve"> </w:t>
      </w:r>
      <w:r>
        <w:t xml:space="preserve">remained, led by pregabalin; they are hypotheses for exposure-based studies.</w:t>
      </w:r>
    </w:p>
    <w:p>
      <w:pPr>
        <w:pStyle w:val="Heading1"/>
      </w:pPr>
      <w:bookmarkStart w:id="10" w:name="_introduction"/>
      <w:r>
        <w:t xml:space="preserve">Introduction</w:t>
      </w:r>
      <w:bookmarkEnd w:id="10"/>
    </w:p>
    <w:p>
      <w:pPr>
        <w:pStyle w:val="FirstParagraph"/>
      </w:pPr>
      <w:r>
        <w:t xml:space="preserve">Drug-induced hearing loss ranges from reversible (salicylates, loop diuretics, quinine, macrolides) to permanent</w:t>
      </w:r>
      <w:r>
        <w:t xml:space="preserve"> </w:t>
      </w:r>
      <w:r>
        <w:t xml:space="preserve">(aminoglycosides, platinum agents), and the classical ototoxic drug classes were identified mainly through clinical</w:t>
      </w:r>
      <w:r>
        <w:t xml:space="preserve"> </w:t>
      </w:r>
      <w:r>
        <w:t xml:space="preserve">observation and case series</w:t>
      </w:r>
      <w:r>
        <w:t xml:space="preserve"> </w:t>
      </w:r>
      <w:r>
        <w:t xml:space="preserve">[1]</w:t>
      </w:r>
      <w:r>
        <w:t xml:space="preserve">. For newer drugs, post-marketing spontaneous reports</w:t>
      </w:r>
      <w:r>
        <w:t xml:space="preserve"> </w:t>
      </w:r>
      <w:r>
        <w:t xml:space="preserve">are often the first source of evidence, and recent studies have screened the FDA Adverse Event Reporting System (FAERS)</w:t>
      </w:r>
      <w:r>
        <w:t xml:space="preserve"> </w:t>
      </w:r>
      <w:r>
        <w:t xml:space="preserve">across all drugs for 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;</w:t>
      </w:r>
      <w:r>
        <w:t xml:space="preserve"> </w:t>
      </w:r>
      <w:r>
        <w:t xml:space="preserve">national databases in Japan and France have been used for the same purpose</w:t>
      </w:r>
      <w:r>
        <w:t xml:space="preserve"> </w:t>
      </w:r>
      <w:r>
        <w:t xml:space="preserve">[7,8]</w:t>
      </w:r>
      <w:r>
        <w:t xml:space="preserve">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In this setting crude disproportionality is open to biases specific to hearing outcomes. Corticosteroids,</w:t>
      </w:r>
      <w:r>
        <w:t xml:space="preserve"> </w:t>
      </w:r>
      <w:r>
        <w:t xml:space="preserve">vasodilators and antivirals are 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</w:t>
      </w:r>
      <w:r>
        <w:t xml:space="preserve"> </w:t>
      </w:r>
      <w:r>
        <w:t xml:space="preserve">loss themselves, so their treatments co-occur with the event (confounding by indication). A drug routinely given with a</w:t>
      </w:r>
      <w:r>
        <w:t xml:space="preserve"> </w:t>
      </w:r>
      <w:r>
        <w:t xml:space="preserve">strongly ototoxic one—an antiemetic with cisplatin, an antibiotic with an aminoglycoside—inherits part of the</w:t>
      </w:r>
      <w:r>
        <w:t xml:space="preserve"> </w:t>
      </w:r>
      <w:r>
        <w:t xml:space="preserve">association (co-medication or</w:t>
      </w:r>
      <w:r>
        <w:t xml:space="preserve"> </w:t>
      </w:r>
      <w:r>
        <w:t xml:space="preserve">“innocent bystander”</w:t>
      </w:r>
      <w:r>
        <w:t xml:space="preserve"> </w:t>
      </w:r>
      <w:r>
        <w:t xml:space="preserve">bias). Reporting can be stimulated by safety communications,</w:t>
      </w:r>
      <w:r>
        <w:t xml:space="preserve"> </w:t>
      </w:r>
      <w:r>
        <w:t xml:space="preserve">litigation or media attention</w:t>
      </w:r>
      <w:r>
        <w:t xml:space="preserve"> </w:t>
      </w:r>
      <w:r>
        <w:t xml:space="preserve">[9]</w:t>
      </w:r>
      <w:r>
        <w:t xml:space="preserve">. Editorials have questioned the value of disproportionality analyses</w:t>
      </w:r>
      <w:r>
        <w:t xml:space="preserve"> </w:t>
      </w:r>
      <w:r>
        <w:t xml:space="preserve">that do not address such biases</w:t>
      </w:r>
      <w:r>
        <w:t xml:space="preserve"> </w:t>
      </w:r>
      <w:r>
        <w:t xml:space="preserve">[10]</w:t>
      </w:r>
      <w:r>
        <w:t xml:space="preserve">, and few FAERS screens test their signal lists against an independent</w:t>
      </w:r>
      <w:r>
        <w:t xml:space="preserve"> </w:t>
      </w:r>
      <w:r>
        <w:t xml:space="preserve">data source or a reference set, as done in evaluations of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The analysis protocol, with all definitions and thresholds of the primary analysis, was written and</w:t>
      </w:r>
      <w:r>
        <w:t xml:space="preserve"> </w:t>
      </w:r>
      <w:r>
        <w:t xml:space="preserve">committed to a version-controlled repository (git commit ff77c40, 26 October 2026, 02:05 UTC+5) before the first result was computed; every later change is dated and</w:t>
      </w:r>
      <w:r>
        <w:t xml:space="preserve"> </w:t>
      </w:r>
      <w:r>
        <w:t xml:space="preserve">labelled in that file (</w:t>
      </w:r>
      <w:r>
        <w:rPr>
          <w:rStyle w:val="VerbatimChar"/>
        </w:rPr>
        <w:t xml:space="preserve">PROTOCOL.md</w:t>
      </w:r>
      <w:r>
        <w:t xml:space="preserve">), and analyses added after results were seen are reported as post hoc.</w:t>
      </w:r>
    </w:p>
    <w:p>
      <w:pPr>
        <w:pStyle w:val="Heading2"/>
      </w:pPr>
      <w:bookmarkStart w:id="12" w:name="_60ab88ea7c784c0820fe7a63c9fb74c6302d3a0"/>
      <w:r>
        <w:t xml:space="preserve">Data sources</w:t>
      </w:r>
      <w:bookmarkEnd w:id="12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Vigilance). All data are public and de-identified.</w:t>
      </w:r>
    </w:p>
    <w:p>
      <w:pPr>
        <w:pStyle w:val="Heading2"/>
      </w:pPr>
      <w:bookmarkStart w:id="13" w:name="_c751b153c47986e3244e5a761476196ea4a5ffc"/>
      <w:r>
        <w:t xml:space="preserve">Pre-processing and deduplication</w:t>
      </w:r>
      <w:bookmarkEnd w:id="13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14" w:name="_41a40ce5571f028458004e399e8bf88c95f8185"/>
      <w:r>
        <w:t xml:space="preserve">Outcomes, exposure and comparator</w:t>
      </w:r>
      <w:bookmarkEnd w:id="14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15" w:name="_disproportionality"/>
      <w:r>
        <w:t xml:space="preserve">Disproportionality</w:t>
      </w:r>
      <w:bookmarkEnd w:id="15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reporting periods)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16" w:name="_142cd368ea85e8fddc952a4320432a4163793ac"/>
      <w:r>
        <w:t xml:space="preserve">Reference set</w:t>
      </w:r>
      <w:bookmarkEnd w:id="16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pair) and, secondarily, the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17" w:name="_replication"/>
      <w:r>
        <w:t xml:space="preserve">Replication</w:t>
      </w:r>
      <w:bookmarkEnd w:id="17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 shrunk towards the null by empirical Bayes (log OR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estimated</w:t>
      </w:r>
      <w:r>
        <w:t xml:space="preserve"> </w:t>
      </w:r>
      <w:r>
        <w:t xml:space="preserve">across all ingredients) to counter the selection of signals on their estimate; observed-to-expected ratios near 1 indicate that</w:t>
      </w:r>
      <w:r>
        <w:t xml:space="preserve"> </w:t>
      </w:r>
      <w:r>
        <w:t xml:space="preserve">signals replicate as often as their FAERS strength predicts. Confidence intervals were bootstrapped over ingredients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In the post-hoc adjusted-to-adjusted analysis the Canadian adjusted case count was compared with its stratified</w:t>
      </w:r>
      <w:r>
        <w:t xml:space="preserve"> </w:t>
      </w:r>
      <w:r>
        <w:t xml:space="preserve">expected count.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18" w:name="_e4620e00135245931b16a0788d572999fd386c0"/>
      <w:r>
        <w:t xml:space="preserve">Post-hoc and sensitivity analyses</w:t>
      </w:r>
      <w:bookmarkEnd w:id="18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19" w:name="_4fbb619f4cb7014e603bc4722c15e1d3db783b4"/>
      <w:r>
        <w:t xml:space="preserve">Robust signals and case-level review</w:t>
      </w:r>
      <w:bookmarkEnd w:id="19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Robust signals whose event appears on no US label of any product containing the drug</w:t>
      </w:r>
      <w:r>
        <w:t xml:space="preserve"> </w:t>
      </w:r>
      <w:r>
        <w:t xml:space="preserve">(single-ingredient or combination) 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rubric distinguishes C from D only on documented evidence; a high consumer share alone does not make a signal C. For</w:t>
      </w:r>
      <w:r>
        <w:t xml:space="preserve"> </w:t>
      </w:r>
      <w:r>
        <w:t xml:space="preserve">category D we additionally required that the signal not persist against other drugs used for the same indication: within</w:t>
      </w:r>
      <w:r>
        <w:t xml:space="preserve"> </w:t>
      </w:r>
      <w:r>
        <w:t xml:space="preserve">FAERS reports (without Canadian origin) whose indication matched the drug’s main indication, we computed the ROR of the drug</w:t>
      </w:r>
      <w:r>
        <w:t xml:space="preserve"> </w:t>
      </w:r>
      <w:r>
        <w:t xml:space="preserve">against all other suspect drugs (active-comparator check, post hoc). The author applied the rubric, and a second, AI-based</w:t>
      </w:r>
      <w:r>
        <w:t xml:space="preserve"> </w:t>
      </w:r>
      <w:r>
        <w:t xml:space="preserve">assessor applied it blind to the author’s assignments, with the same profiles and literature access; agreement is reported as</w:t>
      </w:r>
      <w:r>
        <w:t xml:space="preserve"> </w:t>
      </w:r>
      <w:r>
        <w:t xml:space="preserve">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0" w:name="_60422f0ac97f34e860c6d6c8d42a63ef1fce636"/>
      <w:r>
        <w:t xml:space="preserve">Software and use of AI tools</w:t>
      </w:r>
      <w:bookmarkEnd w:id="20"/>
    </w:p>
    <w:p>
      <w:pPr>
        <w:pStyle w:val="FirstParagraph"/>
      </w:pPr>
      <w:r>
        <w:t xml:space="preserve">Analyses used Python 3.10 (numpy 2.2.6, pandas 2.3.3, scipy 1.15.3, statsmodels 0.15.0, matplotlib 3.10.9). Data processing</w:t>
      </w:r>
      <w:r>
        <w:t xml:space="preserve"> </w:t>
      </w:r>
      <w:r>
        <w:t xml:space="preserve">code, analyses and the first draft of this manuscript were produced with an AI assistant (Claude, Anthropic) working under</w:t>
      </w:r>
      <w:r>
        <w:t xml:space="preserve"> </w:t>
      </w:r>
      <w:r>
        <w:t xml:space="preserve">the author’s direction; three AI reviewers (methods, clinical, editorial) critiqued the draft, and their findings were</w:t>
      </w:r>
      <w:r>
        <w:t xml:space="preserve"> </w:t>
      </w:r>
      <w:r>
        <w:t xml:space="preserve">addressed as described in the protocol file. The author reviewed the code, results and text and is responsible for them.</w:t>
      </w:r>
    </w:p>
    <w:p>
      <w:pPr>
        <w:pStyle w:val="Heading1"/>
      </w:pPr>
      <w:bookmarkStart w:id="21" w:name="_results"/>
      <w:r>
        <w:t xml:space="preserve">Results</w:t>
      </w:r>
      <w:bookmarkEnd w:id="21"/>
    </w:p>
    <w:p>
      <w:pPr>
        <w:pStyle w:val="Heading2"/>
      </w:pPr>
      <w:bookmarkStart w:id="22" w:name="_data"/>
      <w:r>
        <w:t xml:space="preserve">Data</w:t>
      </w:r>
      <w:bookmarkEnd w:id="22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reports; hearing-loss reports</w:t>
      </w:r>
      <w:r>
        <w:t xml:space="preserve"> </w:t>
      </w:r>
      <w:r>
        <w:t xml:space="preserve">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 Without</w:t>
      </w:r>
      <w:r>
        <w:t xml:space="preserve"> </w:t>
      </w:r>
      <w:r>
        <w:t xml:space="preserve">Canadian reports, the population used for signal detection held 19</w:t>
      </w:r>
      <w:r>
        <w:t xml:space="preserve">,</w:t>
      </w:r>
      <w:r>
        <w:t xml:space="preserve">135</w:t>
      </w:r>
      <w:r>
        <w:t xml:space="preserve">,</w:t>
      </w:r>
      <w:r>
        <w:t xml:space="preserve">329 reports and 8</w:t>
      </w:r>
      <w:r>
        <w:t xml:space="preserve">,</w:t>
      </w:r>
      <w:r>
        <w:t xml:space="preserve">122 suspect</w:t>
      </w:r>
      <w:r>
        <w:t xml:space="preserve"> </w:t>
      </w:r>
      <w:r>
        <w:t xml:space="preserve">ingredients; its adjusted subset excluded 18</w:t>
      </w:r>
      <w:r>
        <w:t xml:space="preserve">,</w:t>
      </w:r>
      <w:r>
        <w:t xml:space="preserve">735 reports with an ear or hearing indication,</w:t>
      </w:r>
      <w:r>
        <w:t xml:space="preserve"> </w:t>
      </w:r>
      <w:r>
        <w:t xml:space="preserve">1</w:t>
      </w:r>
      <w:r>
        <w:t xml:space="preserve">,</w:t>
      </w:r>
      <w:r>
        <w:t xml:space="preserve">712</w:t>
      </w:r>
      <w:r>
        <w:t xml:space="preserve">,</w:t>
      </w:r>
      <w:r>
        <w:t xml:space="preserve">914 reports naming a listed ototoxic drug and 484</w:t>
      </w:r>
      <w:r>
        <w:t xml:space="preserve">,</w:t>
      </w:r>
      <w:r>
        <w:t xml:space="preserve">957 lawyer reports,</w:t>
      </w:r>
      <w:r>
        <w:t xml:space="preserve"> </w:t>
      </w:r>
      <w:r>
        <w:t xml:space="preserve">leaving 16</w:t>
      </w:r>
      <w:r>
        <w:t xml:space="preserve">,</w:t>
      </w:r>
      <w:r>
        <w:t xml:space="preserve">962</w:t>
      </w:r>
      <w:r>
        <w:t xml:space="preserve">,</w:t>
      </w:r>
      <w:r>
        <w:t xml:space="preserve">022 reports (67</w:t>
      </w:r>
      <w:r>
        <w:t xml:space="preserve">,</w:t>
      </w:r>
      <w:r>
        <w:t xml:space="preserve">913 hearing-loss cases). Canada Vigilance</w:t>
      </w:r>
      <w:r>
        <w:t xml:space="preserve"> </w:t>
      </w:r>
      <w:r>
        <w:t xml:space="preserve">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 after removing 58</w:t>
      </w:r>
      <w:r>
        <w:t xml:space="preserve">,</w:t>
      </w:r>
      <w:r>
        <w:t xml:space="preserve">623 duplicates</w:t>
      </w:r>
      <w:r>
        <w:t xml:space="preserve"> </w:t>
      </w:r>
      <w:r>
        <w:t xml:space="preserve">(4</w:t>
      </w:r>
      <w:r>
        <w:t xml:space="preserve">,</w:t>
      </w:r>
      <w:r>
        <w:t xml:space="preserve">000 hearing-loss and 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Some label-positive drugs did not signal: oxaliplatin (crude ROR</w:t>
      </w:r>
      <w:r>
        <w:t xml:space="preserve"> </w:t>
      </w:r>
      <w:r>
        <w:t xml:space="preserve">0.44) and vardenafil (6 cases); carboplatin was a</w:t>
      </w:r>
      <w:r>
        <w:t xml:space="preserve"> </w:t>
      </w:r>
      <w:r>
        <w:t xml:space="preserve">crude signal that fell below 1 after adjustment (1.96 to</w:t>
      </w:r>
      <w:r>
        <w:t xml:space="preserve"> </w:t>
      </w:r>
      <w:r>
        <w:t xml:space="preserve">0.82), as did vincristine’s estimate, an example of the sensitivity that the</w:t>
      </w:r>
      <w:r>
        <w:t xml:space="preserve"> </w:t>
      </w:r>
      <w:r>
        <w:t xml:space="preserve">co-medication filter costs.</w:t>
      </w:r>
    </w:p>
    <w:p>
      <w:pPr>
        <w:pStyle w:val="Heading2"/>
      </w:pPr>
      <w:bookmarkStart w:id="23" w:name="_107f3c85ced1315e9f212c36f210ded9bb333bb"/>
      <w:r>
        <w:t xml:space="preserve">Adjustment changes the signal list but not its agreement with labels</w:t>
      </w:r>
      <w:bookmarkEnd w:id="23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 for the crude and</w:t>
      </w:r>
      <w:r>
        <w:t xml:space="preserve"> </w:t>
      </w:r>
      <w:r>
        <w:t xml:space="preserve">adjusted lower bounds (AUC 0.718 and 0.723; difference</w:t>
      </w:r>
      <w:r>
        <w:t xml:space="preserve"> </w:t>
      </w:r>
      <w:r>
        <w:t xml:space="preserve">0.005, 95% CI -0.023 to 0.030). The same held for point</w:t>
      </w:r>
      <w:r>
        <w:t xml:space="preserve"> </w:t>
      </w:r>
      <w:r>
        <w:t xml:space="preserve">estimates (0.700 vs 0.705), for the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(0.720), after excluding the 83 ingredients without an estimable</w:t>
      </w:r>
      <w:r>
        <w:t xml:space="preserve"> </w:t>
      </w:r>
      <w:r>
        <w:t xml:space="preserve">adjusted bound (0.698 vs</w:t>
      </w:r>
      <w:r>
        <w:t xml:space="preserve"> </w:t>
      </w:r>
      <w:r>
        <w:t xml:space="preserve">0.703), at lower report thresholds, without the 29 listed</w:t>
      </w:r>
      <w:r>
        <w:t xml:space="preserve"> </w:t>
      </w:r>
      <w:r>
        <w:t xml:space="preserve">drugs, and for tinnitus (0.775 vs 0.777). Adjustment lowered</w:t>
      </w:r>
      <w:r>
        <w:t xml:space="preserve"> </w:t>
      </w:r>
      <w:r>
        <w:t xml:space="preserve">sensitivity (0.40 to 0.35) with little change in specificity</w:t>
      </w:r>
      <w:r>
        <w:t xml:space="preserve"> </w:t>
      </w:r>
      <w:r>
        <w:t xml:space="preserve">(0.866 to 0.873).</w:t>
      </w:r>
    </w:p>
    <w:p>
      <w:pPr>
        <w:pStyle w:val="Heading2"/>
      </w:pPr>
      <w:bookmarkStart w:id="24" w:name="_2ba7c5a9bf848498b9a7ba8a5df5dde68d81479"/>
      <w:r>
        <w:t xml:space="preserve">Replication in Canada Vigilance</w:t>
      </w:r>
      <w:bookmarkEnd w:id="24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cases, unlabelled adjusted signals in 31/76 (41%), label-negative adjusted signals in</w:t>
      </w:r>
      <w:r>
        <w:t xml:space="preserve"> </w:t>
      </w:r>
      <w:r>
        <w:t xml:space="preserve">21/54 (39%), crude-only signals in 9/21 (43%), and label-negative ingredients that</w:t>
      </w:r>
      <w:r>
        <w:t xml:space="preserve"> </w:t>
      </w:r>
      <w:r>
        <w:t xml:space="preserve">were neither crude nor adjusted signals in 43/214 (20%) (all label-negative ingredients, as literally specified in</w:t>
      </w:r>
      <w:r>
        <w:t xml:space="preserve"> </w:t>
      </w:r>
      <w:r>
        <w:t xml:space="preserve">the protocol: 68/281 (24%); 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The power-calibrated comparison</w:t>
      </w:r>
      <w:r>
        <w:t xml:space="preserve"> </w:t>
      </w:r>
      <w:r>
        <w:t xml:space="preserve">separated the groups more clearly (Figure </w:t>
      </w:r>
      <w:hyperlink w:anchor="_576b9bd78d0890981a1f156b59228419fd8f27c">
        <w:r>
          <w:rPr>
            <w:rStyle w:val="Hyperlink"/>
          </w:rPr>
          <w:t xml:space="preserve">1</w:t>
        </w:r>
      </w:hyperlink>
      <w:r>
        <w:t xml:space="preserve">): labelled signals replicated as often as their shrunken FAERS</w:t>
      </w:r>
      <w:r>
        <w:t xml:space="preserve"> </w:t>
      </w:r>
      <w:r>
        <w:t xml:space="preserve">estimates predicted (31 observed vs 30.5 expected; O/E 1.02, 95% CI 0.77–1.32), whereas unlabelled signals replicated less than half as often</w:t>
      </w:r>
      <w:r>
        <w:t xml:space="preserve"> </w:t>
      </w:r>
      <w:r>
        <w:t xml:space="preserve">(25 observed vs 56.8 expected; O/E 0.44, 95% CI 0.29–0.62), like label-negative signals (18 observed vs 37.5 expected; O/E 0.48, 95% CI 0.27–0.72). Results were the same</w:t>
      </w:r>
      <w:r>
        <w:t xml:space="preserve"> </w:t>
      </w:r>
      <w:r>
        <w:t xml:space="preserve">with unshrunken estimates and with the pre-specified label definition, and for tinnitus (60 observed vs 63.2 expected; O/E 0.95, 95% CI 0.79–1.13</w:t>
      </w:r>
      <w:r>
        <w:t xml:space="preserve"> </w:t>
      </w:r>
      <w:r>
        <w:t xml:space="preserve">for labelled and 22 observed vs 46.4 expected; O/E 0.47, 95% CI 0.30–0.66 for unlabelled signals).</w:t>
      </w:r>
    </w:p>
    <w:p>
      <w:pPr>
        <w:pStyle w:val="BodyText"/>
      </w:pPr>
      <w:r>
        <w:t xml:space="preserve">The replication test was not conservative: label-negative non-signals replicated 4.2 times as often as expected without any association</w:t>
      </w:r>
      <w:r>
        <w:t xml:space="preserve"> </w:t>
      </w:r>
      <w:r>
        <w:t xml:space="preserve">(36 vs 8.5).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reports) none against 1.9 expected (too few to be testable).</w:t>
      </w:r>
    </w:p>
    <w:p>
      <w:pPr>
        <w:pStyle w:val="BodyText"/>
      </w:pPr>
      <w:r>
        <w:t xml:space="preserve">Co-medication bias can also replicate when crude estimates are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(3.68–7.14)); after adjustment the FAERS estimate reversed</w:t>
      </w:r>
      <w:r>
        <w:t xml:space="preserve"> </w:t>
      </w:r>
      <w:r>
        <w:t xml:space="preserve">(0.67 (0.46–0.98)) and the Canadian one rested on</w:t>
      </w:r>
      <w:r>
        <w:t xml:space="preserve"> </w:t>
      </w:r>
      <w:r>
        <w:t xml:space="preserve">2 cases (1.15 (0.29–4.64)). Temporal replication within FAERS</w:t>
      </w:r>
      <w:r>
        <w:t xml:space="preserve"> </w:t>
      </w:r>
      <w:r>
        <w:t xml:space="preserve">did not separate crude-only from adjusted hearing-loss signals (early adjusted signals recurred after 2014 in</w:t>
      </w:r>
      <w:r>
        <w:t xml:space="preserve"> </w:t>
      </w:r>
      <w:r>
        <w:t xml:space="preserve">81/155 (52%), crude-only signals in 18/28 (64%), background 137/938 (15%)); for</w:t>
      </w:r>
      <w:r>
        <w:t xml:space="preserve"> </w:t>
      </w:r>
      <w:r>
        <w:t xml:space="preserve">tinnitus adjusted signals recurred more often (100/121 (83%) vs 9/15 (60%)).</w:t>
      </w:r>
    </w:p>
    <w:p>
      <w:pPr>
        <w:pStyle w:val="Heading2"/>
      </w:pPr>
      <w:bookmarkStart w:id="25" w:name="_be549a4ec8708f84b63e1dc0d4821bd33780b5c"/>
      <w:r>
        <w:t xml:space="preserve">Post-hoc analyses</w:t>
      </w:r>
      <w:bookmarkEnd w:id="25"/>
    </w:p>
    <w:p>
      <w:pPr>
        <w:pStyle w:val="FirstParagraph"/>
      </w:pPr>
      <w:r>
        <w:t xml:space="preserve">With the extended indication filter, Canada Vigilance restricted to unsolicited reports and both estimates adjusted</w:t>
      </w:r>
      <w:r>
        <w:t xml:space="preserve"> </w:t>
      </w:r>
      <w:r>
        <w:t xml:space="preserve">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), labelled hearing-loss signals replicated in 26/44 (59%), unlabelled signals in</w:t>
      </w:r>
      <w:r>
        <w:t xml:space="preserve"> </w:t>
      </w:r>
      <w:r>
        <w:t xml:space="preserve">10/51 (20%) and the background in 19/158 (12%)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);</w:t>
      </w:r>
      <w:r>
        <w:t xml:space="preserve"> </w:t>
      </w:r>
      <w:r>
        <w:t xml:space="preserve">calibrated on adjusted Canadian counts, O/E was 1.10 (95% CI</w:t>
      </w:r>
      <w:r>
        <w:t xml:space="preserve"> </w:t>
      </w:r>
      <w:r>
        <w:t xml:space="preserve">0.76–1.49) for labelled and</w:t>
      </w:r>
      <w:r>
        <w:t xml:space="preserve"> </w:t>
      </w:r>
      <w:r>
        <w:t xml:space="preserve">0.26 (0.11–0.43)</w:t>
      </w:r>
      <w:r>
        <w:t xml:space="preserve"> </w:t>
      </w:r>
      <w:r>
        <w:t xml:space="preserve">for unlabelled signals. Across the co-medication variants and the restriction of Canada Vigilance to reports from 2004,</w:t>
      </w:r>
      <w:r>
        <w:t xml:space="preserve"> </w:t>
      </w:r>
      <w:r>
        <w:t xml:space="preserve">unlabelled O/E ranged 0.23–0.28 and labelled</w:t>
      </w:r>
      <w:r>
        <w:t xml:space="preserve"> </w:t>
      </w:r>
      <w:r>
        <w:t xml:space="preserve">0.94–1.18. The comparison with the background depended on</w:t>
      </w:r>
      <w:r>
        <w:t xml:space="preserve"> </w:t>
      </w:r>
      <w:r>
        <w:t xml:space="preserve">report clusters: after excluding reports that list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the background fell to 5/159 (3%) and</w:t>
      </w:r>
      <w:r>
        <w:t xml:space="preserve"> </w:t>
      </w:r>
      <w:r>
        <w:t xml:space="preserve">unlabelled signals (8/48 (17%)) exceeded it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),</w:t>
      </w:r>
      <w:r>
        <w:t xml:space="preserve"> </w:t>
      </w:r>
      <w:r>
        <w:t xml:space="preserve">although still replicating far below expectation (O/E 0.27). Handling</w:t>
      </w:r>
      <w:r>
        <w:t xml:space="preserve"> </w:t>
      </w:r>
      <w:r>
        <w:t xml:space="preserve">co-medication as a stratum rather than an exclusion removed the below-1 estimates of label-positive drugs (carboplatin</w:t>
      </w:r>
      <w:r>
        <w:t xml:space="preserve"> </w:t>
      </w:r>
      <w:r>
        <w:t xml:space="preserve">0.79 to 1.34; vincristine</w:t>
      </w:r>
      <w:r>
        <w:t xml:space="preserve"> </w:t>
      </w:r>
      <w:r>
        <w:t xml:space="preserve">0.48 to 1.04), consistent</w:t>
      </w:r>
      <w:r>
        <w:t xml:space="preserve"> </w:t>
      </w:r>
      <w:r>
        <w:t xml:space="preserve">with selection bias from the exclusion, but did not remove the etoposide association</w:t>
      </w:r>
      <w:r>
        <w:t xml:space="preserve"> </w:t>
      </w:r>
      <w:r>
        <w:t xml:space="preserve">(1.57), consistent with residual co-medication bias under a binary stratum.</w:t>
      </w:r>
    </w:p>
    <w:p>
      <w:pPr>
        <w:pStyle w:val="Heading2"/>
      </w:pPr>
      <w:bookmarkStart w:id="26" w:name="_42e042e6440987e2814ddf706c2a7b829123a6f"/>
      <w:r>
        <w:t xml:space="preserve">Signals from previous screens</w:t>
      </w:r>
      <w:bookmarkEnd w:id="26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1</w:t>
      </w:r>
      <w:r>
        <w:t xml:space="preserve"> </w:t>
      </w:r>
      <w:r>
        <w:t xml:space="preserve">met the post-hoc robust definition (glycopyrrolate). Their strongest unlabelled signals included</w:t>
      </w:r>
      <w:r>
        <w:t xml:space="preserve"> </w:t>
      </w:r>
      <w:r>
        <w:t xml:space="preserve">sacubitril/valsartan and tafamidis. Of the 28 unlabelled paediatric signals of Liu et al. </w:t>
      </w:r>
      <w:r>
        <w:t xml:space="preserve">[4]</w:t>
      </w:r>
      <w:r>
        <w:t xml:space="preserve">,</w:t>
      </w:r>
      <w:r>
        <w:t xml:space="preserve"> </w:t>
      </w:r>
      <w:r>
        <w:t xml:space="preserve">11 were adjusted signals in our all-age data and 1 met the robust definition</w:t>
      </w:r>
      <w:r>
        <w:t xml:space="preserve"> </w:t>
      </w:r>
      <w:r>
        <w:t xml:space="preserve">(azithromycin, which is on the a-priori ototoxic list);</w:t>
      </w:r>
      <w:r>
        <w:t xml:space="preserve"> </w:t>
      </w:r>
      <w:r>
        <w:t xml:space="preserve">cefixime, ceftriaxone, etoposide and isoniazid were lost on adjustment 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</w:t>
      </w:r>
      <w:r>
        <w:t xml:space="preserve"> </w:t>
      </w:r>
      <w:r>
        <w:t xml:space="preserve">abstract-level lists were available for the other screens (Supplementary Table S6).</w:t>
      </w:r>
    </w:p>
    <w:p>
      <w:pPr>
        <w:pStyle w:val="Heading2"/>
      </w:pPr>
      <w:bookmarkStart w:id="27" w:name="_79ce093ef77156c196cf1ee4b9b58429eba3dcd"/>
      <w:r>
        <w:t xml:space="preserve">Case-level review</w:t>
      </w:r>
      <w:bookmarkEnd w:id="27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2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</w:t>
      </w:r>
      <w:r>
        <w:t xml:space="preserve"> </w:t>
      </w:r>
      <w:r>
        <w:t xml:space="preserve">of cases from the United Kingdom, median 42 drugs per</w:t>
      </w:r>
      <w:r>
        <w:t xml:space="preserve"> </w:t>
      </w:r>
      <w:r>
        <w:t xml:space="preserve">report), 6 to stimulated or mass-exposure reporting (mRNA COVID-19 vaccines, rofecoxib, finasteride),</w:t>
      </w:r>
      <w:r>
        <w:t xml:space="preserve"> </w:t>
      </w:r>
      <w:r>
        <w:t xml:space="preserve">1 to an established ototoxic class (oral paromomycin) and 4 to an indication whose</w:t>
      </w:r>
      <w:r>
        <w:t xml:space="preserve"> </w:t>
      </w:r>
      <w:r>
        <w:t xml:space="preserve">association with the event was confirmed by the active-comparator check (etanercept against other rheumatoid-arthritis drugs,</w:t>
      </w:r>
      <w:r>
        <w:t xml:space="preserve"> </w:t>
      </w:r>
      <w:r>
        <w:t xml:space="preserve">ROR 0.93 (0.87–1.00); insulin aspart within diabetes, 1.17 (1.00–1.37); galcanezumab within migraine,</w:t>
      </w:r>
      <w:r>
        <w:t xml:space="preserve"> </w:t>
      </w:r>
      <w:r>
        <w:t xml:space="preserve">0.82 (0.63–1.06); chlorthalidone within hypertension, 1.04 (0.43–2.51)). For seven signals the</w:t>
      </w:r>
      <w:r>
        <w:t xml:space="preserve"> </w:t>
      </w:r>
      <w:r>
        <w:t xml:space="preserve">indication did not account for the association, because it persisted against other drugs for the same indication:</w:t>
      </w:r>
      <w:r>
        <w:t xml:space="preserve"> </w:t>
      </w:r>
      <w:r>
        <w:t xml:space="preserve">tofacitinib, pregabalin, amlodipine, glycopyrrolate and travoprost for hearing loss (for example pregabalin within pain and neuropathy, ROR 3.27 (3.04–3.52); amlodipine</w:t>
      </w:r>
      <w:r>
        <w:t xml:space="preserve"> </w:t>
      </w:r>
      <w:r>
        <w:t xml:space="preserve">within hypertension, 1.89 (1.69–2.10)) and doxycycline and liothyronine for tinnitus (doxycycline, 3.63 (2.98–4.42)).</w:t>
      </w:r>
      <w:r>
        <w:t xml:space="preserve"> </w:t>
      </w:r>
      <w:r>
        <w:t xml:space="preserve">A second, AI-based assessor applying the same rubric to the same profiles agreed on 19 of 22 assignments</w:t>
      </w:r>
      <w:r>
        <w:t xml:space="preserve"> </w:t>
      </w:r>
      <w:r>
        <w:t xml:space="preserve">before the active-comparator step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 and on 19 after the same mechanical rule</w:t>
      </w:r>
      <w:r>
        <w:t xml:space="preserve"> </w:t>
      </w:r>
      <w:r>
        <w:t xml:space="preserve">was applied to both (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 with its assignments, nine signals would remain unexplained</w:t>
      </w:r>
      <w:r>
        <w:t xml:space="preserve"> </w:t>
      </w:r>
      <w:r>
        <w:t xml:space="preserve">(Supplementary Table S3).</w:t>
      </w:r>
    </w:p>
    <w:bookmarkStart w:id="28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68/281 (24%)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31/30.5 = 1.02 (0.77–1.32)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25/56.8 = 0.44 (0.29–0.62)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18/37.5 = 0.48 (0.27–0.72)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(-0.016 to 0.018)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53/252 (21%)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60/63.2 = 0.95 (0.79–1.13)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22/46.4 = 0.47 (0.30–0.66)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16/33.8 = 0.47 (0.28–0.71)</w:t>
            </w:r>
          </w:p>
        </w:tc>
      </w:tr>
    </w:tbl>
    <w:bookmarkEnd w:id="28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29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 and a restriction of Canada Vigilance to reports from 2004. Fisher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unlabelled vs background replication. O/E: observed/expected replications (adjusted counts).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 and a restriction of Canada Vigilance to reports from 2004. Fisher p: unlabelled vs background replication. O/E: observed/expected replications (adjusted counts). Robust: adjusted signals replicated adjusted-to-adjusted (unlabelled in brackets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Fisher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18/37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10/48 (21%)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15/125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(10)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41/81 (51%)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14/44 (32%)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8/111 (7%)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 / 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(14)</w:t>
            </w:r>
          </w:p>
        </w:tc>
      </w:tr>
    </w:tbl>
    <w:bookmarkEnd w:id="29"/>
    <w:p/>
    <w:bookmarkStart w:id="30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0"/>
    <w:p/>
    <w:bookmarkStart w:id="31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1"/>
    <w:bookmarkStart w:id="35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figures/replic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35"/>
    <w:bookmarkStart w:id="39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figures/candidat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39"/>
    <w:p>
      <w:pPr>
        <w:pStyle w:val="Heading1"/>
      </w:pPr>
      <w:bookmarkStart w:id="40" w:name="_discussion"/>
      <w:r>
        <w:t xml:space="preserve">Discussion</w:t>
      </w:r>
      <w:bookmarkEnd w:id="40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associations—they replicated about as often as their strength predicted—but unlabelled signals replicated</w:t>
      </w:r>
      <w:r>
        <w:t xml:space="preserve"> </w:t>
      </w:r>
      <w:r>
        <w:t xml:space="preserve">less than half as often as predicted, about as often as signals for drugs whose labels are silent on hearing. Third,</w:t>
      </w:r>
      <w:r>
        <w:t xml:space="preserve"> </w:t>
      </w:r>
      <w:r>
        <w:t xml:space="preserve">replication is not a clean validator on its own: solicited patient-support-programme reports and report clusters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 known association, and co-medication bias can replicate when crude estimates are compared.</w:t>
      </w:r>
      <w:r>
        <w:t xml:space="preserve"> </w:t>
      </w:r>
      <w:r>
        <w:t xml:space="preserve">After adjusted replication, a review of report provenance and an active-comparator check, 7 of 22 robust unlabelled</w:t>
      </w:r>
      <w:r>
        <w:t xml:space="preserve"> </w:t>
      </w:r>
      <w:r>
        <w:t xml:space="preserve">signals remained.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hundreds to thousands</w:t>
      </w:r>
      <w:r>
        <w:t xml:space="preserve"> </w:t>
      </w:r>
      <w:r>
        <w:t xml:space="preserve">of FAERS reports, consistent with manufacturer programmes in the United States,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 its</w:t>
      </w:r>
      <w:r>
        <w:t xml:space="preserve"> </w:t>
      </w:r>
      <w:r>
        <w:t xml:space="preserve">replication.</w:t>
      </w:r>
    </w:p>
    <w:p>
      <w:pPr>
        <w:pStyle w:val="BodyText"/>
      </w:pPr>
      <w:r>
        <w:t xml:space="preserve">Several steps flagged most of the artefacts identified in this study: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databases;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reports; and comparing the drug with others used for the same indication. The power-calibrated comparison is simple and avoids</w:t>
      </w:r>
      <w:r>
        <w:t xml:space="preserve"> </w:t>
      </w:r>
      <w:r>
        <w:t xml:space="preserve">the outcome-dependent testability of rules based on observed counts; it remains sensitive to overdispersion, and empirical</w:t>
      </w:r>
      <w:r>
        <w:t xml:space="preserve"> </w:t>
      </w:r>
      <w:r>
        <w:t xml:space="preserve">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regression-based adjustment for co-reported drugs</w:t>
      </w:r>
      <w:r>
        <w:t xml:space="preserve"> </w:t>
      </w:r>
      <w:r>
        <w:t xml:space="preserve">[22]</w:t>
      </w:r>
      <w:r>
        <w:t xml:space="preserve"> </w:t>
      </w:r>
      <w:r>
        <w:t xml:space="preserve">would be natural extensions. We suggest that screens for hearing outcomes report these provenance</w:t>
      </w:r>
      <w:r>
        <w:t xml:space="preserve"> </w:t>
      </w:r>
      <w:r>
        <w:t xml:space="preserve">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 had 1</w:t>
      </w:r>
      <w:r>
        <w:t xml:space="preserve">,</w:t>
      </w:r>
      <w:r>
        <w:t xml:space="preserve">703</w:t>
      </w:r>
      <w:r>
        <w:t xml:space="preserve"> </w:t>
      </w:r>
      <w:r>
        <w:t xml:space="preserve">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 and persisted against other drugs for pain and neuropathy; a case of reversible, dose-related hearing</w:t>
      </w:r>
      <w:r>
        <w:t xml:space="preserve"> </w:t>
      </w:r>
      <w:r>
        <w:t xml:space="preserve">loss has been described</w:t>
      </w:r>
      <w:r>
        <w:t xml:space="preserve"> </w:t>
      </w:r>
      <w:r>
        <w:t xml:space="preserve">[23]</w:t>
      </w:r>
      <w:r>
        <w:t xml:space="preserve">, but age and diabetes confound</w:t>
      </w:r>
      <w:r>
        <w:t xml:space="preserve"> </w:t>
      </w:r>
      <w:r>
        <w:t xml:space="preserve">[24]</w:t>
      </w:r>
      <w:r>
        <w:t xml:space="preserve">, and its labels list</w:t>
      </w:r>
      <w:r>
        <w:t xml:space="preserve"> </w:t>
      </w:r>
      <w:r>
        <w:t xml:space="preserve">tinnitus and hyperacusis. For amlodipine, hypertension is associated with hearing loss</w:t>
      </w:r>
      <w:r>
        <w:t xml:space="preserve"> </w:t>
      </w:r>
      <w:r>
        <w:t xml:space="preserve">[25]</w:t>
      </w:r>
      <w:r>
        <w:t xml:space="preserve">, yet the signal</w:t>
      </w:r>
      <w:r>
        <w:t xml:space="preserve"> </w:t>
      </w:r>
      <w:r>
        <w:t xml:space="preserve">persisted against other antihypertensives, while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</w:t>
      </w:r>
      <w:r>
        <w:t xml:space="preserve"> </w:t>
      </w:r>
      <w:r>
        <w:t xml:space="preserve">calcium-channel blockers</w:t>
      </w:r>
      <w:r>
        <w:t xml:space="preserve"> </w:t>
      </w:r>
      <w:r>
        <w:t xml:space="preserve">[26]</w:t>
      </w:r>
      <w:r>
        <w:t xml:space="preserve">, which argues against a causal effect. Tofacitinib, travoprost and glycopyrrolate</w:t>
      </w:r>
      <w:r>
        <w:t xml:space="preserve"> </w:t>
      </w:r>
      <w:r>
        <w:t xml:space="preserve">persisted within rheumatoid arthritis, glaucoma and COPD, diseases themselves linked to hearing loss</w:t>
      </w:r>
      <w:r>
        <w:t xml:space="preserve"> </w:t>
      </w:r>
      <w:r>
        <w:t xml:space="preserve">[27–29]</w:t>
      </w:r>
      <w:r>
        <w:t xml:space="preserve">, so residual confounding by disease severity remains possible. Doxycycline</w:t>
      </w:r>
      <w:r>
        <w:t xml:space="preserve"> </w:t>
      </w:r>
      <w:r>
        <w:t xml:space="preserve">can cause intracranial hypertension, of which pulsatile tinnitus is a symptom</w:t>
      </w:r>
      <w:r>
        <w:t xml:space="preserve"> </w:t>
      </w:r>
      <w:r>
        <w:t xml:space="preserve">[30]</w:t>
      </w:r>
      <w:r>
        <w:t xml:space="preserve">, although few cases reported</w:t>
      </w:r>
      <w:r>
        <w:t xml:space="preserve"> </w:t>
      </w:r>
      <w:r>
        <w:t xml:space="preserve">it. None of these should change practice without studies that have exposure data.</w:t>
      </w:r>
    </w:p>
    <w:p>
      <w:pPr>
        <w:pStyle w:val="Heading4"/>
      </w:pPr>
      <w:bookmarkStart w:id="41" w:name="_72424125f1c747d5dc92a896a97d43a10aedd6b"/>
      <w:r>
        <w:t xml:space="preserve">Limitations.</w:t>
      </w:r>
      <w:bookmarkEnd w:id="41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 it</w:t>
      </w:r>
      <w:r>
        <w:t xml:space="preserve"> </w:t>
      </w:r>
      <w:r>
        <w:t xml:space="preserve">only to compare methods. Excluding reports with an ototoxic co-medication conditions on a variable that reporters may add</w:t>
      </w:r>
      <w:r>
        <w:t xml:space="preserve"> </w:t>
      </w:r>
      <w:r>
        <w:t xml:space="preserve">after observing the event, which pushed some label-positive drugs below 1; stratifying instead removed that artefact but left</w:t>
      </w:r>
      <w:r>
        <w:t xml:space="preserve"> </w:t>
      </w:r>
      <w:r>
        <w:t xml:space="preserve">residual co-medication bias, and both gave the same replication contrast. Indications are often missing; unreported</w:t>
      </w:r>
      <w:r>
        <w:t xml:space="preserve"> </w:t>
      </w:r>
      <w:r>
        <w:t xml:space="preserve">co-treatment (for example aminoglycosides in mycobacterial disease) remains; content deduplication was not applied to Canada</w:t>
      </w:r>
      <w:r>
        <w:t xml:space="preserve"> </w:t>
      </w:r>
      <w:r>
        <w:t xml:space="preserve">Vigilance and cannot catch near-duplicate series, which the report-cluster indicator only partly addresses; and combination</w:t>
      </w:r>
      <w:r>
        <w:t xml:space="preserve"> </w:t>
      </w:r>
      <w:r>
        <w:t xml:space="preserve">products contribute to each ingredient (valsartan inherits sacubitril/valsartan reports). Canadian reports were removed from</w:t>
      </w:r>
      <w:r>
        <w:t xml:space="preserve"> </w:t>
      </w:r>
      <w:r>
        <w:t xml:space="preserve">FAERS by occurrence country, or reporter country when missing. The Canada Vigilance documentation does not state that the</w:t>
      </w:r>
      <w:r>
        <w:t xml:space="preserve"> </w:t>
      </w:r>
      <w:r>
        <w:t xml:space="preserve">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100 ingredients were screened without</w:t>
      </w:r>
      <w:r>
        <w:t xml:space="preserve"> </w:t>
      </w:r>
      <w:r>
        <w:t xml:space="preserve">multiplicity 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conclusions,</w:t>
      </w:r>
      <w:r>
        <w:t xml:space="preserve"> </w:t>
      </w:r>
      <w:r>
        <w:t xml:space="preserve">and the calibration’s expected counts depend on Poisson assumptions that the background shows to be optimistic. Corrections</w:t>
      </w:r>
      <w:r>
        <w:t xml:space="preserve"> </w:t>
      </w:r>
      <w:r>
        <w:t xml:space="preserve">made after the first results (ingredient synonyms, comparator handling for listed drugs, label sections) changed the primary</w:t>
      </w:r>
      <w:r>
        <w:t xml:space="preserve"> </w:t>
      </w:r>
      <w:r>
        <w:t xml:space="preserve">numbers slightly; they are listed in the protocol file. The solicited-report exclusion, the extended indication filter,</w:t>
      </w:r>
      <w:r>
        <w:t xml:space="preserve"> </w:t>
      </w:r>
      <w:r>
        <w:t xml:space="preserve">adjusted-to-adjusted and calibrated replication, the co-medication variants, the active-comparator check and the case-level</w:t>
      </w:r>
      <w:r>
        <w:t xml:space="preserve"> </w:t>
      </w:r>
      <w:r>
        <w:t xml:space="preserve">review were added after the primary results were seen, partly in response to internal review, and are labelled post hoc. The</w:t>
      </w:r>
      <w:r>
        <w:t xml:space="preserve"> </w:t>
      </w:r>
      <w:r>
        <w:t xml:space="preserve">case-level review was applied by the author and by an AI assessor that used the same profiles and search tools, not by</w:t>
      </w:r>
      <w:r>
        <w:t xml:space="preserve"> </w:t>
      </w:r>
      <w:r>
        <w:t xml:space="preserve">independent clinicians; the two assessments are therefore not fully independent.</w:t>
      </w:r>
    </w:p>
    <w:p>
      <w:pPr>
        <w:pStyle w:val="Heading4"/>
      </w:pPr>
      <w:bookmarkStart w:id="42" w:name="_2fee5c028dc7c352c541238a75e372b3a85d4c6"/>
      <w:r>
        <w:t xml:space="preserve">Conclusions.</w:t>
      </w:r>
      <w:bookmarkEnd w:id="42"/>
    </w:p>
    <w:p>
      <w:pPr>
        <w:pStyle w:val="FirstParagraph"/>
      </w:pPr>
      <w:r>
        <w:t xml:space="preserve">In FAERS, most drug–hearing-loss signals that are not already on a label do not survive adjustment,</w:t>
      </w:r>
      <w:r>
        <w:t xml:space="preserve"> </w:t>
      </w:r>
      <w:r>
        <w:t xml:space="preserve">adjusted 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 are</w:t>
      </w:r>
      <w:r>
        <w:t xml:space="preserve"> </w:t>
      </w:r>
      <w:r>
        <w:t xml:space="preserve">adjusted and solicited reports and report clusters are handled explicitly. The few remaining candidates, led by pregabalin,</w:t>
      </w:r>
      <w:r>
        <w:t xml:space="preserve"> </w:t>
      </w:r>
      <w:r>
        <w:t xml:space="preserve">merit study with exposure-based designs.</w:t>
      </w:r>
    </w:p>
    <w:p>
      <w:pPr>
        <w:pStyle w:val="Heading1"/>
      </w:pPr>
      <w:bookmarkStart w:id="43" w:name="_ad61382512a69fb2431cb9ccd9664860b940cd1"/>
      <w:r>
        <w:t xml:space="preserve">Statements and declarations</w:t>
      </w:r>
      <w:bookmarkEnd w:id="43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104" w:name="_refs"/>
    <w:bookmarkStart w:id="45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44">
        <w:r>
          <w:rPr>
            <w:rStyle w:val="Hyperlink"/>
          </w:rPr>
          <w:t xml:space="preserve">https://doi.org/10.1002/cpt.603</w:t>
        </w:r>
      </w:hyperlink>
    </w:p>
    <w:bookmarkEnd w:id="45"/>
    <w:bookmarkStart w:id="47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46">
        <w:r>
          <w:rPr>
            <w:rStyle w:val="Hyperlink"/>
          </w:rPr>
          <w:t xml:space="preserve">https://doi.org/10.3389/fphar.2024.1480994</w:t>
        </w:r>
      </w:hyperlink>
    </w:p>
    <w:bookmarkEnd w:id="47"/>
    <w:bookmarkStart w:id="49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48">
        <w:r>
          <w:rPr>
            <w:rStyle w:val="Hyperlink"/>
          </w:rPr>
          <w:t xml:space="preserve">https://doi.org/10.1016/j.heares.2025.109262</w:t>
        </w:r>
      </w:hyperlink>
    </w:p>
    <w:bookmarkEnd w:id="49"/>
    <w:bookmarkStart w:id="51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0">
        <w:r>
          <w:rPr>
            <w:rStyle w:val="Hyperlink"/>
          </w:rPr>
          <w:t xml:space="preserve">https://doi.org/10.3389/fphar.2025.1532461</w:t>
        </w:r>
      </w:hyperlink>
    </w:p>
    <w:bookmarkEnd w:id="51"/>
    <w:bookmarkStart w:id="53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2">
        <w:r>
          <w:rPr>
            <w:rStyle w:val="Hyperlink"/>
          </w:rPr>
          <w:t xml:space="preserve">https://doi.org/10.1007/s00210-026-05556-7</w:t>
        </w:r>
      </w:hyperlink>
    </w:p>
    <w:bookmarkEnd w:id="53"/>
    <w:bookmarkStart w:id="55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54">
        <w:r>
          <w:rPr>
            <w:rStyle w:val="Hyperlink"/>
          </w:rPr>
          <w:t xml:space="preserve">https://doi.org/10.12968/hmed.2024.0380</w:t>
        </w:r>
      </w:hyperlink>
    </w:p>
    <w:bookmarkEnd w:id="55"/>
    <w:bookmarkStart w:id="57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56">
        <w:r>
          <w:rPr>
            <w:rStyle w:val="Hyperlink"/>
          </w:rPr>
          <w:t xml:space="preserve">https://doi.org/10.1371/journal.pone.0217951</w:t>
        </w:r>
      </w:hyperlink>
    </w:p>
    <w:bookmarkEnd w:id="57"/>
    <w:bookmarkStart w:id="59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58">
        <w:r>
          <w:rPr>
            <w:rStyle w:val="Hyperlink"/>
          </w:rPr>
          <w:t xml:space="preserve">https://doi.org/10.1111/fcp.12533</w:t>
        </w:r>
      </w:hyperlink>
    </w:p>
    <w:bookmarkEnd w:id="59"/>
    <w:bookmarkStart w:id="61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0">
        <w:r>
          <w:rPr>
            <w:rStyle w:val="Hyperlink"/>
          </w:rPr>
          <w:t xml:space="preserve">https://doi.org/10.2165/00002018-200730100-00007</w:t>
        </w:r>
      </w:hyperlink>
    </w:p>
    <w:bookmarkEnd w:id="61"/>
    <w:bookmarkStart w:id="63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2">
        <w:r>
          <w:rPr>
            <w:rStyle w:val="Hyperlink"/>
          </w:rPr>
          <w:t xml:space="preserve">https://doi.org/10.1016/j.jid.2025.06.1579</w:t>
        </w:r>
      </w:hyperlink>
    </w:p>
    <w:bookmarkEnd w:id="63"/>
    <w:bookmarkStart w:id="65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64">
        <w:r>
          <w:rPr>
            <w:rStyle w:val="Hyperlink"/>
          </w:rPr>
          <w:t xml:space="preserve">https://doi.org/10.1038/clpt.2013.24</w:t>
        </w:r>
      </w:hyperlink>
    </w:p>
    <w:bookmarkEnd w:id="65"/>
    <w:bookmarkStart w:id="67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66">
        <w:r>
          <w:rPr>
            <w:rStyle w:val="Hyperlink"/>
          </w:rPr>
          <w:t xml:space="preserve">https://doi.org/10.1007/s40264-024-01421-9</w:t>
        </w:r>
      </w:hyperlink>
    </w:p>
    <w:bookmarkEnd w:id="67"/>
    <w:bookmarkStart w:id="69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68">
        <w:r>
          <w:rPr>
            <w:rStyle w:val="Hyperlink"/>
          </w:rPr>
          <w:t xml:space="preserve">https://doi.org/10.1007/s40264-024-01423-7</w:t>
        </w:r>
      </w:hyperlink>
    </w:p>
    <w:bookmarkEnd w:id="69"/>
    <w:bookmarkStart w:id="71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0">
        <w:r>
          <w:rPr>
            <w:rStyle w:val="Hyperlink"/>
          </w:rPr>
          <w:t xml:space="preserve">https://doi.org/10.1093/jamia/ocv153</w:t>
        </w:r>
      </w:hyperlink>
    </w:p>
    <w:bookmarkEnd w:id="71"/>
    <w:bookmarkStart w:id="73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2">
        <w:r>
          <w:rPr>
            <w:rStyle w:val="Hyperlink"/>
          </w:rPr>
          <w:t xml:space="preserve">https://doi.org/10.1111/j.1469-1809.1955.tb01348.x</w:t>
        </w:r>
      </w:hyperlink>
    </w:p>
    <w:bookmarkEnd w:id="73"/>
    <w:bookmarkStart w:id="75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74">
        <w:r>
          <w:rPr>
            <w:rStyle w:val="Hyperlink"/>
          </w:rPr>
          <w:t xml:space="preserve">https://doi.org/10.1002/pds.1001</w:t>
        </w:r>
      </w:hyperlink>
    </w:p>
    <w:bookmarkEnd w:id="75"/>
    <w:bookmarkStart w:id="77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76">
        <w:r>
          <w:rPr>
            <w:rStyle w:val="Hyperlink"/>
          </w:rPr>
          <w:t xml:space="preserve">https://doi.org/10.1002/sim.2473</w:t>
        </w:r>
      </w:hyperlink>
    </w:p>
    <w:bookmarkEnd w:id="77"/>
    <w:bookmarkStart w:id="79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78">
        <w:r>
          <w:rPr>
            <w:rStyle w:val="Hyperlink"/>
          </w:rPr>
          <w:t xml:space="preserve">https://doi.org/10.1093/jnci/22.4.719</w:t>
        </w:r>
      </w:hyperlink>
    </w:p>
    <w:bookmarkEnd w:id="79"/>
    <w:bookmarkStart w:id="81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0">
        <w:r>
          <w:rPr>
            <w:rStyle w:val="Hyperlink"/>
          </w:rPr>
          <w:t xml:space="preserve">https://doi.org/10.2307/2531052</w:t>
        </w:r>
      </w:hyperlink>
    </w:p>
    <w:bookmarkEnd w:id="81"/>
    <w:bookmarkStart w:id="83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2">
        <w:r>
          <w:rPr>
            <w:rStyle w:val="Hyperlink"/>
          </w:rPr>
          <w:t xml:space="preserve">https://doi.org/10.1007/s40264-019-00843-0</w:t>
        </w:r>
      </w:hyperlink>
    </w:p>
    <w:bookmarkEnd w:id="83"/>
    <w:bookmarkStart w:id="85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84">
        <w:r>
          <w:rPr>
            <w:rStyle w:val="Hyperlink"/>
          </w:rPr>
          <w:t xml:space="preserve">https://doi.org/10.1002/sim.5925</w:t>
        </w:r>
      </w:hyperlink>
    </w:p>
    <w:bookmarkEnd w:id="85"/>
    <w:bookmarkStart w:id="87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86">
        <w:r>
          <w:rPr>
            <w:rStyle w:val="Hyperlink"/>
          </w:rPr>
          <w:t xml:space="preserve">https://doi.org/10.1002/sam.10078</w:t>
        </w:r>
      </w:hyperlink>
    </w:p>
    <w:bookmarkEnd w:id="87"/>
    <w:bookmarkStart w:id="89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88">
        <w:r>
          <w:rPr>
            <w:rStyle w:val="Hyperlink"/>
          </w:rPr>
          <w:t xml:space="preserve">https://doi.org/10.5505/agri.2018.48753</w:t>
        </w:r>
      </w:hyperlink>
    </w:p>
    <w:bookmarkEnd w:id="89"/>
    <w:bookmarkStart w:id="91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0">
        <w:r>
          <w:rPr>
            <w:rStyle w:val="Hyperlink"/>
          </w:rPr>
          <w:t xml:space="preserve">https://doi.org/10.1210/jc.2012-2119</w:t>
        </w:r>
      </w:hyperlink>
    </w:p>
    <w:bookmarkEnd w:id="91"/>
    <w:bookmarkStart w:id="93" w:name="_90035051e9cb6e0d4a9b4d996a14af53650eae4"/>
    <w:p>
      <w:pPr>
        <w:pStyle w:val="Bibliography"/>
      </w:pPr>
      <w:r>
        <w:t xml:space="preserve">25. Jin X, Xu X, Wang J, Liu X, Deng X, Xie H. Association between hypertension and hearing loss: A systemic review and meta-analysis. Frontiers in neurology. 2024;15:1470997.</w:t>
      </w:r>
      <w:r>
        <w:t xml:space="preserve"> </w:t>
      </w:r>
      <w:hyperlink r:id="rId92">
        <w:r>
          <w:rPr>
            <w:rStyle w:val="Hyperlink"/>
          </w:rPr>
          <w:t xml:space="preserve">https://doi.org/10.3389/fneur.2024.1470997</w:t>
        </w:r>
      </w:hyperlink>
    </w:p>
    <w:bookmarkEnd w:id="93"/>
    <w:bookmarkStart w:id="95" w:name="_22b8669257583e60fc4613cd9bf0682ec3fbb25"/>
    <w:p>
      <w:pPr>
        <w:pStyle w:val="Bibliography"/>
      </w:pPr>
      <w:r>
        <w:t xml:space="preserve">26. Sutton SS, Magagnoli J, Cummings TH, Hardin JW. Calcium channel blockers and the risk of sensorineural hearing loss. Otology &amp; Neurotology. 2022;43:e140–7.</w:t>
      </w:r>
      <w:r>
        <w:t xml:space="preserve"> </w:t>
      </w:r>
      <w:hyperlink r:id="rId94">
        <w:r>
          <w:rPr>
            <w:rStyle w:val="Hyperlink"/>
          </w:rPr>
          <w:t xml:space="preserve">https://doi.org/10.1097/MAO.0000000000003419</w:t>
        </w:r>
      </w:hyperlink>
    </w:p>
    <w:bookmarkEnd w:id="95"/>
    <w:bookmarkStart w:id="97" w:name="_a75653ffaf987313fa99474d7ab4895d708e5a4"/>
    <w:p>
      <w:pPr>
        <w:pStyle w:val="Bibliography"/>
      </w:pPr>
      <w:r>
        <w:t xml:space="preserve">27. Chaitidis N, Theocharis P, Festas C, Aritzi I. Association of rheumatoid arthritis with hearing loss: A systematic review and meta-analysis. Rheumatology International. 2020;40:1771–9.</w:t>
      </w:r>
      <w:r>
        <w:t xml:space="preserve"> </w:t>
      </w:r>
      <w:hyperlink r:id="rId96">
        <w:r>
          <w:rPr>
            <w:rStyle w:val="Hyperlink"/>
          </w:rPr>
          <w:t xml:space="preserve">https://doi.org/10.1007/s00296-020-04609-1</w:t>
        </w:r>
      </w:hyperlink>
    </w:p>
    <w:bookmarkEnd w:id="97"/>
    <w:bookmarkStart w:id="99" w:name="_11593371a69f66357e86220b227297cc20dc733"/>
    <w:p>
      <w:pPr>
        <w:pStyle w:val="Bibliography"/>
      </w:pPr>
      <w:r>
        <w:t xml:space="preserve">28. Kim JM, Lee MY, Kim JW, Lee J, Kim HJ, Cha SC, et al. Open-angle glaucoma and sensorineural hearing impairment in the</w:t>
      </w:r>
      <w:r>
        <w:t xml:space="preserve"> </w:t>
      </w:r>
      <w:r>
        <w:t xml:space="preserve">Korean</w:t>
      </w:r>
      <w:r>
        <w:t xml:space="preserve"> </w:t>
      </w:r>
      <w:r>
        <w:t xml:space="preserve">population. Current Eye Research. 2020;45:992–9.</w:t>
      </w:r>
      <w:r>
        <w:t xml:space="preserve"> </w:t>
      </w:r>
      <w:hyperlink r:id="rId98">
        <w:r>
          <w:rPr>
            <w:rStyle w:val="Hyperlink"/>
          </w:rPr>
          <w:t xml:space="preserve">https://doi.org/10.1080/02713683.2020.1712424</w:t>
        </w:r>
      </w:hyperlink>
    </w:p>
    <w:bookmarkEnd w:id="99"/>
    <w:bookmarkStart w:id="101" w:name="_1994c31b65db315423021af066b563f5c10707d"/>
    <w:p>
      <w:pPr>
        <w:pStyle w:val="Bibliography"/>
      </w:pPr>
      <w:r>
        <w:t xml:space="preserve">29. Choi HG, Kwon MJ, Kim JH, Kim J-H, Kim Y, Kim SY. Association between</w:t>
      </w:r>
      <w:r>
        <w:t xml:space="preserve"> </w:t>
      </w:r>
      <w:r>
        <w:t xml:space="preserve">COPD</w:t>
      </w:r>
      <w:r>
        <w:t xml:space="preserve"> </w:t>
      </w:r>
      <w:r>
        <w:t xml:space="preserve">and hearing loss. The Laryngoscope. 2024;134:4716–22.</w:t>
      </w:r>
      <w:r>
        <w:t xml:space="preserve"> </w:t>
      </w:r>
      <w:hyperlink r:id="rId100">
        <w:r>
          <w:rPr>
            <w:rStyle w:val="Hyperlink"/>
          </w:rPr>
          <w:t xml:space="preserve">https://doi.org/10.1002/lary.31548</w:t>
        </w:r>
      </w:hyperlink>
    </w:p>
    <w:bookmarkEnd w:id="101"/>
    <w:bookmarkStart w:id="103" w:name="_816983a1b4f88f3b0231ac3f28316885953f087"/>
    <w:p>
      <w:pPr>
        <w:pStyle w:val="Bibliography"/>
      </w:pPr>
      <w:r>
        <w:t xml:space="preserve">30.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102">
        <w:r>
          <w:rPr>
            <w:rStyle w:val="Hyperlink"/>
          </w:rPr>
          <w:t xml:space="preserve">https://doi.org/10.1097/ONO.0000000000000043</w:t>
        </w:r>
      </w:hyperlink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hyperlink" Id="rId44" Target="https://doi.org/10.1002/cpt.603" TargetMode="External" /><Relationship Type="http://schemas.openxmlformats.org/officeDocument/2006/relationships/hyperlink" Id="rId100" Target="https://doi.org/10.1002/lary.31548" TargetMode="External" /><Relationship Type="http://schemas.openxmlformats.org/officeDocument/2006/relationships/hyperlink" Id="rId74" Target="https://doi.org/10.1002/pds.1001" TargetMode="External" /><Relationship Type="http://schemas.openxmlformats.org/officeDocument/2006/relationships/hyperlink" Id="rId86" Target="https://doi.org/10.1002/sam.10078" TargetMode="External" /><Relationship Type="http://schemas.openxmlformats.org/officeDocument/2006/relationships/hyperlink" Id="rId76" Target="https://doi.org/10.1002/sim.2473" TargetMode="External" /><Relationship Type="http://schemas.openxmlformats.org/officeDocument/2006/relationships/hyperlink" Id="rId84" Target="https://doi.org/10.1002/sim.5925" TargetMode="External" /><Relationship Type="http://schemas.openxmlformats.org/officeDocument/2006/relationships/hyperlink" Id="rId52" Target="https://doi.org/10.1007/s00210-026-05556-7" TargetMode="External" /><Relationship Type="http://schemas.openxmlformats.org/officeDocument/2006/relationships/hyperlink" Id="rId96" Target="https://doi.org/10.1007/s00296-020-04609-1" TargetMode="External" /><Relationship Type="http://schemas.openxmlformats.org/officeDocument/2006/relationships/hyperlink" Id="rId82" Target="https://doi.org/10.1007/s40264-019-00843-0" TargetMode="External" /><Relationship Type="http://schemas.openxmlformats.org/officeDocument/2006/relationships/hyperlink" Id="rId66" Target="https://doi.org/10.1007/s40264-024-01421-9" TargetMode="External" /><Relationship Type="http://schemas.openxmlformats.org/officeDocument/2006/relationships/hyperlink" Id="rId68" Target="https://doi.org/10.1007/s40264-024-01423-7" TargetMode="External" /><Relationship Type="http://schemas.openxmlformats.org/officeDocument/2006/relationships/hyperlink" Id="rId48" Target="https://doi.org/10.1016/j.heares.2025.109262" TargetMode="External" /><Relationship Type="http://schemas.openxmlformats.org/officeDocument/2006/relationships/hyperlink" Id="rId62" Target="https://doi.org/10.1016/j.jid.2025.06.1579" TargetMode="External" /><Relationship Type="http://schemas.openxmlformats.org/officeDocument/2006/relationships/hyperlink" Id="rId64" Target="https://doi.org/10.1038/clpt.2013.24" TargetMode="External" /><Relationship Type="http://schemas.openxmlformats.org/officeDocument/2006/relationships/hyperlink" Id="rId98" Target="https://doi.org/10.1080/02713683.2020.1712424" TargetMode="External" /><Relationship Type="http://schemas.openxmlformats.org/officeDocument/2006/relationships/hyperlink" Id="rId70" Target="https://doi.org/10.1093/jamia/ocv153" TargetMode="External" /><Relationship Type="http://schemas.openxmlformats.org/officeDocument/2006/relationships/hyperlink" Id="rId78" Target="https://doi.org/10.1093/jnci/22.4.719" TargetMode="External" /><Relationship Type="http://schemas.openxmlformats.org/officeDocument/2006/relationships/hyperlink" Id="rId94" Target="https://doi.org/10.1097/MAO.0000000000003419" TargetMode="External" /><Relationship Type="http://schemas.openxmlformats.org/officeDocument/2006/relationships/hyperlink" Id="rId102" Target="https://doi.org/10.1097/ONO.0000000000000043" TargetMode="External" /><Relationship Type="http://schemas.openxmlformats.org/officeDocument/2006/relationships/hyperlink" Id="rId58" Target="https://doi.org/10.1111/fcp.12533" TargetMode="External" /><Relationship Type="http://schemas.openxmlformats.org/officeDocument/2006/relationships/hyperlink" Id="rId72" Target="https://doi.org/10.1111/j.1469-1809.1955.tb01348.x" TargetMode="External" /><Relationship Type="http://schemas.openxmlformats.org/officeDocument/2006/relationships/hyperlink" Id="rId90" Target="https://doi.org/10.1210/jc.2012-2119" TargetMode="External" /><Relationship Type="http://schemas.openxmlformats.org/officeDocument/2006/relationships/hyperlink" Id="rId54" Target="https://doi.org/10.12968/hmed.2024.0380" TargetMode="External" /><Relationship Type="http://schemas.openxmlformats.org/officeDocument/2006/relationships/hyperlink" Id="rId56" Target="https://doi.org/10.1371/journal.pone.0217951" TargetMode="External" /><Relationship Type="http://schemas.openxmlformats.org/officeDocument/2006/relationships/hyperlink" Id="rId60" Target="https://doi.org/10.2165/00002018-200730100-00007" TargetMode="External" /><Relationship Type="http://schemas.openxmlformats.org/officeDocument/2006/relationships/hyperlink" Id="rId80" Target="https://doi.org/10.2307/2531052" TargetMode="External" /><Relationship Type="http://schemas.openxmlformats.org/officeDocument/2006/relationships/hyperlink" Id="rId92" Target="https://doi.org/10.3389/fneur.2024.1470997" TargetMode="External" /><Relationship Type="http://schemas.openxmlformats.org/officeDocument/2006/relationships/hyperlink" Id="rId46" Target="https://doi.org/10.3389/fphar.2024.1480994" TargetMode="External" /><Relationship Type="http://schemas.openxmlformats.org/officeDocument/2006/relationships/hyperlink" Id="rId50" Target="https://doi.org/10.3389/fphar.2025.1532461" TargetMode="External" /><Relationship Type="http://schemas.openxmlformats.org/officeDocument/2006/relationships/hyperlink" Id="rId88" Target="https://doi.org/10.5505/agri.2018.4875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02/cpt.603" TargetMode="External" /><Relationship Type="http://schemas.openxmlformats.org/officeDocument/2006/relationships/hyperlink" Id="rId100" Target="https://doi.org/10.1002/lary.31548" TargetMode="External" /><Relationship Type="http://schemas.openxmlformats.org/officeDocument/2006/relationships/hyperlink" Id="rId74" Target="https://doi.org/10.1002/pds.1001" TargetMode="External" /><Relationship Type="http://schemas.openxmlformats.org/officeDocument/2006/relationships/hyperlink" Id="rId86" Target="https://doi.org/10.1002/sam.10078" TargetMode="External" /><Relationship Type="http://schemas.openxmlformats.org/officeDocument/2006/relationships/hyperlink" Id="rId76" Target="https://doi.org/10.1002/sim.2473" TargetMode="External" /><Relationship Type="http://schemas.openxmlformats.org/officeDocument/2006/relationships/hyperlink" Id="rId84" Target="https://doi.org/10.1002/sim.5925" TargetMode="External" /><Relationship Type="http://schemas.openxmlformats.org/officeDocument/2006/relationships/hyperlink" Id="rId52" Target="https://doi.org/10.1007/s00210-026-05556-7" TargetMode="External" /><Relationship Type="http://schemas.openxmlformats.org/officeDocument/2006/relationships/hyperlink" Id="rId96" Target="https://doi.org/10.1007/s00296-020-04609-1" TargetMode="External" /><Relationship Type="http://schemas.openxmlformats.org/officeDocument/2006/relationships/hyperlink" Id="rId82" Target="https://doi.org/10.1007/s40264-019-00843-0" TargetMode="External" /><Relationship Type="http://schemas.openxmlformats.org/officeDocument/2006/relationships/hyperlink" Id="rId66" Target="https://doi.org/10.1007/s40264-024-01421-9" TargetMode="External" /><Relationship Type="http://schemas.openxmlformats.org/officeDocument/2006/relationships/hyperlink" Id="rId68" Target="https://doi.org/10.1007/s40264-024-01423-7" TargetMode="External" /><Relationship Type="http://schemas.openxmlformats.org/officeDocument/2006/relationships/hyperlink" Id="rId48" Target="https://doi.org/10.1016/j.heares.2025.109262" TargetMode="External" /><Relationship Type="http://schemas.openxmlformats.org/officeDocument/2006/relationships/hyperlink" Id="rId62" Target="https://doi.org/10.1016/j.jid.2025.06.1579" TargetMode="External" /><Relationship Type="http://schemas.openxmlformats.org/officeDocument/2006/relationships/hyperlink" Id="rId64" Target="https://doi.org/10.1038/clpt.2013.24" TargetMode="External" /><Relationship Type="http://schemas.openxmlformats.org/officeDocument/2006/relationships/hyperlink" Id="rId98" Target="https://doi.org/10.1080/02713683.2020.1712424" TargetMode="External" /><Relationship Type="http://schemas.openxmlformats.org/officeDocument/2006/relationships/hyperlink" Id="rId70" Target="https://doi.org/10.1093/jamia/ocv153" TargetMode="External" /><Relationship Type="http://schemas.openxmlformats.org/officeDocument/2006/relationships/hyperlink" Id="rId78" Target="https://doi.org/10.1093/jnci/22.4.719" TargetMode="External" /><Relationship Type="http://schemas.openxmlformats.org/officeDocument/2006/relationships/hyperlink" Id="rId94" Target="https://doi.org/10.1097/MAO.0000000000003419" TargetMode="External" /><Relationship Type="http://schemas.openxmlformats.org/officeDocument/2006/relationships/hyperlink" Id="rId102" Target="https://doi.org/10.1097/ONO.0000000000000043" TargetMode="External" /><Relationship Type="http://schemas.openxmlformats.org/officeDocument/2006/relationships/hyperlink" Id="rId58" Target="https://doi.org/10.1111/fcp.12533" TargetMode="External" /><Relationship Type="http://schemas.openxmlformats.org/officeDocument/2006/relationships/hyperlink" Id="rId72" Target="https://doi.org/10.1111/j.1469-1809.1955.tb01348.x" TargetMode="External" /><Relationship Type="http://schemas.openxmlformats.org/officeDocument/2006/relationships/hyperlink" Id="rId90" Target="https://doi.org/10.1210/jc.2012-2119" TargetMode="External" /><Relationship Type="http://schemas.openxmlformats.org/officeDocument/2006/relationships/hyperlink" Id="rId54" Target="https://doi.org/10.12968/hmed.2024.0380" TargetMode="External" /><Relationship Type="http://schemas.openxmlformats.org/officeDocument/2006/relationships/hyperlink" Id="rId56" Target="https://doi.org/10.1371/journal.pone.0217951" TargetMode="External" /><Relationship Type="http://schemas.openxmlformats.org/officeDocument/2006/relationships/hyperlink" Id="rId60" Target="https://doi.org/10.2165/00002018-200730100-00007" TargetMode="External" /><Relationship Type="http://schemas.openxmlformats.org/officeDocument/2006/relationships/hyperlink" Id="rId80" Target="https://doi.org/10.2307/2531052" TargetMode="External" /><Relationship Type="http://schemas.openxmlformats.org/officeDocument/2006/relationships/hyperlink" Id="rId92" Target="https://doi.org/10.3389/fneur.2024.1470997" TargetMode="External" /><Relationship Type="http://schemas.openxmlformats.org/officeDocument/2006/relationships/hyperlink" Id="rId46" Target="https://doi.org/10.3389/fphar.2024.1480994" TargetMode="External" /><Relationship Type="http://schemas.openxmlformats.org/officeDocument/2006/relationships/hyperlink" Id="rId50" Target="https://doi.org/10.3389/fphar.2025.1532461" TargetMode="External" /><Relationship Type="http://schemas.openxmlformats.org/officeDocument/2006/relationships/hyperlink" Id="rId88" Target="https://doi.org/10.5505/agri.2018.4875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signals: a disproportionality analysis of FAERS and Canada Vigilance</dc:title>
  <dc:creator>Oleg Tropynin Independent researcher, Karaganda, Kazakhstan tropininoleg@gmail.com</dc:creator>
  <cp:keywords/>
  <dcterms:created xsi:type="dcterms:W3CDTF">2026-10-25T23:37:08Z</dcterms:created>
  <dcterms:modified xsi:type="dcterms:W3CDTF">2026-10-25T23:37:08Z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Introduction: Recent disproportionality analyses of the US Food and Drug Administration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receiver operating characteristic curve, AUC) and by replication in Canada Vigilance, observed and power-calibrated; robust unlabelled signals underwent case-by-case review.Results: Adjustment changed the hearing-loss signal list (300 crude, 310 adjusted, 63 lost) but not agreement with labels (AUC 0.718 vs 0.723). Labelled signals replicated in Canada as often as predicted (observed/expected 1.02, 95% CI 0.77–1.32); unlabelled signals did not (0.44, 0.29–0.62; post hoc, both databases adjusted: 0.26). Solicited patient-support-programme reports, report clusters and shared co-medication produced spurious replications. Of 22 robust unlabelled signals (post hoc), 15 were attributed to report clusters, stimulated reporting, indication or an established class; 7 remained, led by pregabalin.Conclusions: Most unlabelled FAERS hearing-loss signals do not survive adjustment, adjusted replication and provenance review. These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