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</w:t>
      </w:r>
      <w:r>
        <w:br/>
      </w:r>
      <w:r>
        <w:t xml:space="preserve">Which drug–hearing-loss signals in FAERS survive adjustment and independent replication?</w:t>
      </w:r>
    </w:p>
    <w:p>
      <w:pPr>
        <w:pStyle w:val="Author"/>
      </w:pPr>
      <w:r>
        <w:t xml:space="preserve">Oleg Tropynin</w:t>
      </w:r>
    </w:p>
    <w:p>
      <w:pPr>
        <w:pStyle w:val="Heading1"/>
      </w:pPr>
      <w:bookmarkStart w:id="9" w:name="_bc2363c31d4ec24522f12bdd604b39b5fee099b"/>
      <w:r>
        <w:t xml:space="preserve">Table S1. READUS-PV checklist</w:t>
      </w:r>
      <w:bookmarkEnd w:id="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READUS-PV recommendation (abridged)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study as a disproportionality analysis; name data type and database(s)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the adverse event(s) and/or drug(s)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(hearing loss); abstract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Drugs, event, frequency, existing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Introduction, paragraph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 (routine PV, safety profile or pre-specified hypothesis)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Introduction, paragraphs 2–3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ICSR databases and disproportionality suit the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Introduction, paragraphs 1–3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Objectives: event(s), drug(s), reference group, pre-specified hypotheses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Introduction, last paragraph; Methods 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design and 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 primary and sensitivity analyses, case-by-case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2.4–2.8; PROTOCOL.md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names, custodians, coverage, thesaurus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2.1 (FDA, Health Canada; MedDRA 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dates; pre-processing and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2.1–2.2; Results 3.1; Figure 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population and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2.3–2.4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 of drugs/events; ingredients vs trade names; drug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2.2–2.3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data sources and how they interact with ICSRs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2.5 (US labels), 2.8 (PubMed)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Disproportionality measures and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analyses and confounding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2.4, 2.6, 2.7; Results 3.3–3.4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and criteria for case-by-case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2.8; Table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methods for other data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2.5 (AUC, bootstrap), 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ICSRs at each stage with 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3.1; Figure 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Demographic and clinical characteristics of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results with confidence intervals; sensitivity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1–4, S2, S5, S6; Figures 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Case-by-case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3.6; Table 4,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results in context; expected vs emerging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Discussion, paragraphs 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Discussion;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to clinical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Discussion, paragraph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Further study designs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Discussion, paragraph 4; Conclusions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Limitations; disproportionality cannot prove causation or measure incidence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of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Declarations (not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Data, code (software versions) and protocol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2.9; Declarations</w:t>
            </w:r>
          </w:p>
        </w:tc>
      </w:tr>
    </w:tbl>
    <w:p>
      <w:pPr>
        <w:pStyle w:val="Heading1"/>
      </w:pPr>
      <w:bookmarkStart w:id="10" w:name="_f225a015d3a0f234a4fdefb7d95eb368a360ec0"/>
      <w:r>
        <w:t xml:space="preserve">Table S2. Established ototoxic drugs: crude and adjusted estimates (hearing loss)</w:t>
      </w:r>
      <w:bookmarkEnd w:id="10"/>
    </w:p>
    <w:p>
      <w:pPr>
        <w:pStyle w:val="FirstParagraph"/>
      </w:pPr>
      <w:r>
        <w:t xml:space="preserve">FAERS crude: all reports; FAERS adjusted: Mantel–Haenszel OR in the restricted population (Methods); Canada: crude ROR, all reports.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FAERS 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FAERS ROR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Adj. 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FAERS adj. OR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Canada 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Canada ROR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Gentamicin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9.66 (8.63–10.81)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11.37 (9.79–13.20)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33.60 (27.98–40.34)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Tobramycin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5.36 (4.83–5.94)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4.82 (4.25–5.47)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 (11.89–24.59)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Amikacin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16.83 (15.69–18.07)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12.70 (11.57–13.95)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145.93 (97.41–218.60)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Streptomycin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5.76 (3.61–9.20)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7.92 (4.47–14.05)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6.28 (3.24–12.17)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Cisplatin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4.61 (4.35–4.88)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4.27 (3.96–4.59)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31.21 (26.13–37.29)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Carboplatin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1.96 (1.83–2.11)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 (0.72–0.93)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19.09 (15.74–23.17)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Oxaliplatin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 (0.37–0.53)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 (0.38–0.56)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 (0.02–1.02)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Vancomycin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2.25 (2.03–2.49)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2.06 (1.80–2.35)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9.25 (7.14–11.98)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Furosemide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 (1.57–1.91)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1.31 (1.16–1.48)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10.18 (7.87–13.16)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Hydroxychloroquine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2.10 (1.93–2.28)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 (1.55–1.93)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2.21 (1.79–2.73)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Quinine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5.83 (4.58–7.42)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6.10 (4.47–8.31)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6.10 (2.27–16.42)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Deferoxamine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8.97 (6.78–11.86)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11.78 (8.87–15.65)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36.29 (25.40–51.86)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Sildenafil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3.99 (3.73–4.26)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3.93 (3.65–4.24)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4.19 (2.95–5.94)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Tadalafil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4.52 (4.20–4.87)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4.22 (3.89–4.58)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4.19 (3.00–5.85)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Vardenafil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1.31 (0.59–2.93)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 (0.35–2.49)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17.01 (6.21–46.61)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Teprotumumab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59.90 (56.11–63.95)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59.76 (55.40–64.47)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Heading1"/>
      </w:pPr>
      <w:bookmarkStart w:id="11" w:name="_708ed1ccf8fe4e3f02ab97c8c729763280ba53f"/>
      <w:r>
        <w:t xml:space="preserve">Figure S1. Report flow</w:t>
      </w:r>
      <w:bookmarkEnd w:id="11"/>
    </w:p>
    <w:p>
      <w:pPr>
        <w:pStyle w:val="FirstParagraph"/>
      </w:pPr>
      <w:r>
        <w:drawing>
          <wp:inline>
            <wp:extent cx="5334000" cy="3006436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../figures/flow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15" w:name="_285f1c4a0308c390ee0d43f75f28e0f81ef6567"/>
      <w:r>
        <w:t xml:space="preserve">Table S3. Case-level review of robust signals absent from all US labels (post hoc)</w:t>
      </w:r>
      <w:bookmarkEnd w:id="15"/>
    </w:p>
    <w:p>
      <w:pPr>
        <w:pStyle w:val="FirstParagraph"/>
      </w:pPr>
      <w:r>
        <w:t xml:space="preserve">Rubric, first applicable category: K established ototoxic class or association documented by a prospective/cohort series;</w:t>
      </w:r>
      <w:r>
        <w:t xml:space="preserve"> </w:t>
      </w:r>
      <w:r>
        <w:t xml:space="preserve">A report cluster (</w:t>
      </w:r>
      <m:oMath>
        <m:r>
          <m:rPr>
            <m:sty m:val="p"/>
          </m:rPr>
          <m:t>≥</m:t>
        </m:r>
      </m:oMath>
      <w:r>
        <w:t xml:space="preserve">50% of cases in reports listing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15 drugs); B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50% of cases co-name an established ototoxic</w:t>
      </w:r>
      <w:r>
        <w:t xml:space="preserve"> </w:t>
      </w:r>
      <w:r>
        <w:t xml:space="preserve">drug; C stimulated or solicited reporting; D main indication associated with the event; E none. Cat. 1: author; Cat. 2:</w:t>
      </w:r>
      <w:r>
        <w:t xml:space="preserve"> </w:t>
      </w:r>
      <w:r>
        <w:t xml:space="preserve">second, AI-based assessor, blind to Cat. 1, before the active-comparator rule (agreement 19/22,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0.82</m:t>
        </m:r>
      </m:oMath>
      <w:r>
        <w:t xml:space="preserve">). Category D</w:t>
      </w:r>
      <w:r>
        <w:t xml:space="preserve"> </w:t>
      </w:r>
      <w:r>
        <w:t xml:space="preserve">also requires the active-comparator (within-indication) ROR lower bound</w:t>
      </w:r>
      <w:r>
        <w:t xml:space="preserve"> </w:t>
      </w:r>
      <m:oMath>
        <m:r>
          <m:rPr>
            <m:sty m:val="p"/>
          </m:rPr>
          <m:t>≤</m:t>
        </m:r>
        <m:r>
          <m:t>1</m:t>
        </m:r>
      </m:oMath>
      <w:r>
        <w:t xml:space="preserve">. Profiles: FAERS cases without Canadian reports.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Cat. 1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Cat. 2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drugs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15 drugs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Ototoxic co-drug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Within-indication 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Rofecoxib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2006 42%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litigation-era reporting (2004-2006)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Tozinameran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2022 28%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mass vaccination; cohort evidence conflicting (Israel SIR 1.35, PMID 35201275; Denmark null, PMID 37288514)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Elasomeran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mass vaccination; media attention to hearing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Etanercept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2016 20%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(0.87-1.00)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rheumatoid arthritis associated with SNHL (PMID 32488430); used for autoimmune inner ear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 Aspart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2025 17%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 (1.00-1.37)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 associated with hearing impairment (meta-analysis, PMID 23150692)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Tofacitinib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2022 19%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 (2.06-2.45)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persists against other RA drugs; 82 % consumer reports; rheumatoid arthritis associated with SNHL (PMID 32488430)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Pregabalin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2021 23%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3.27 (3.04-3.52)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alpha-2-delta ligand; one case report of reversible loss (PMID 32297964); diabetes/neuropathy and age (median 71) confound; labels list tinnitus and hyperacusis, not hearing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Amlodipine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2021 15%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 (1.69-2.10)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list tinnitus; VA cohort found lower SNHL risk with calcium-channel blockers (PMID 34855682); hypertension associated with hearing loss (meta-analysis, PMID 39839866)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Glycopyrrolate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2025 27%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 (1.27-2.14)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persists against other COPD drugs; COPD associated with hearing loss (PMID 38828668)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Travoprost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 (1.80-3.29)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persists against other glaucoma drugs; median age 80; glaucoma associated with SNHL (PMID 31935130)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Candesartan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2023 54%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83% of cases in reports listing &gt;= 15 drugs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Propranolol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2024 21%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66% of cases in reports listing &gt;= 15 drugs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Tozinameran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 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51% of cases in reports listing &gt;= 15 drugs; mass vaccination; cohort evidence conflicting (Israel SIR 1.35, PMID 35201275; Denmark null, PMID 37288514)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Indapamide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2018 23%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55% of cases in reports listing &gt;= 15 drugs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Finasteride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 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2024 17%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post-finasteride syndrome advocacy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Rofecoxib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2006 47%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litigation-era reporting (2004-2006)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Elasomeran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mass vaccination; media attention to hearing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Galcanezumab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 (0.63-1.06)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migraine associated with tinnitus (systematic review, PMID 36459425; a meta-analysis found low evidence, PMID 36380120)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Chlorthalidone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 (0.43-2.51)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hypertension associated with tinnitus (meta-analysis, PMID 26881064)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Doxycycline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2024 13%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3.63 (2.98-4.42)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pulsatile tinnitus can accompany labelled drug-induced intracranial hypertension (PMID 38516546), but only 15/220 cases co-report intracranial hypertension or papilloedema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Liothyronine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 (1.31-3.36)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persists against other hypothyroidism drugs; 32 % drug-dense reports (UK cluster overlap); hypothyroidism associated with tinnitus (PMID 35233053)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Paromomycin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2017 33%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 the a-priori ototoxic list (aminoglycoside); oral aminoglycoside, poorly absorbed; 3 cases</w:t>
            </w:r>
          </w:p>
        </w:tc>
      </w:tr>
    </w:tbl>
    <w:p>
      <w:pPr>
        <w:pStyle w:val="Heading1"/>
      </w:pPr>
      <w:bookmarkStart w:id="16" w:name="_0d1a7a5b4b5021be65a05a826435d1d1da5593f"/>
      <w:r>
        <w:t xml:space="preserve">Table S4. Characteristics of FAERS hearing-loss and tinnitus reports and all other reports (READUS-PV item 8b)</w:t>
      </w:r>
      <w:bookmarkEnd w:id="1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Hearing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Tinnitus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 other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Reports,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19,756,269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Age, median (years)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&lt;18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-44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-64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65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Sex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Reporter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physician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pharmacist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health professional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lawyer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Country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FDA receipt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-2012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-2018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-2026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52.6</w:t>
            </w:r>
          </w:p>
        </w:tc>
      </w:tr>
    </w:tbl>
    <w:p>
      <w:pPr>
        <w:pStyle w:val="Heading1"/>
      </w:pPr>
      <w:bookmarkStart w:id="17" w:name="_2e01fb859bb3af4b8599e56c06905c83ad66a87"/>
      <w:r>
        <w:t xml:space="preserve">Table S5. All robust signals (post hoc: adjusted FAERS signal replicated adjusted-to-adjusted in Canada Vigilance without solicited reports)</w:t>
      </w:r>
      <w:bookmarkEnd w:id="17"/>
    </w:p>
    <w:p>
      <w:pPr>
        <w:pStyle w:val="FirstParagraph"/>
      </w:pPr>
      <w:r>
        <w:t xml:space="preserve">FAERS: adjusted MH OR (extended indication filter, Canadian reports excluded); Canada: adjusted MH OR; Label: event on any US label of a product containing the drug.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Ingredient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FAERS adj. 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FAERS adj. OR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Canada adj. 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Canada adj. OR (95% CI)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Amikacin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12.71 (11.55–13.98)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286.54 (160.73–510.83)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Amlodipine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2.39 (2.21–2.57)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2.70 (1.65–4.44)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Amphotericin 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1.53 (1.14–2.07)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6.30 (2.01–19.75)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Azithromycin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5.15 (4.66–5.68)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11.05 (7.65–15.96)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Bupropion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 (1.01–1.32)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2.46 (1.59–3.80)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Ciprofloxacin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2.94 (2.66–3.24)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4.47 (3.19–6.27)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Cisplatin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4.30 (3.98–4.64)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20.99 (15.49–28.45)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Clarithromycin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3.40 (2.95–3.91)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5.45 (3.52–8.43)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Deferasirox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4.02 (3.58–4.52)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4.29 (1.91–9.66)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Deferoxamine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9.60 (6.85–13.45)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81.44 (51.89–127.82)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Elasomeran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2.36 (1.44–3.86)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3.30 (2.01–5.44)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Erythromycin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2.29 (1.76–2.97)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7.74 (4.90–12.22)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Etanercept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 (1.10–1.21)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2.28 (1.71–3.05)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Ethacrynic Acid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13.94 (5.07–38.28)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109.98 (41.12–294.17)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Furosemide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1.19 (1.04–1.36)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4.42 (2.59–7.53)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Gentamicin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11.96 (10.24–13.97)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65.05 (50.65–83.55)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Glycopyrrolate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3.08 (2.74–3.45)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4.40 (1.82–10.67)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Hydroxychloroquine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1.80 (1.51–2.13)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2.03 (1.57–2.62)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 Aspart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2.27 (2.00–2.58)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2.69 (1.11–6.50)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Moxifloxacin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2.12 (1.78–2.51)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6.87 (4.52–10.43)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4.97 (3.77–6.54)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8.70 (3.85–19.66)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Peginterferon Alfa-2B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1.54 (1.20–1.96)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4.57 (2.15–9.70)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Piroxicam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2.20 (1.32–3.65)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5.65 (1.80–17.75)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Pregabalin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3.25 (3.09–3.43)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2.06 (1.24–3.44)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Ramipril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1.27 (1.02–1.58)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2.34 (1.25–4.37)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Ribavirin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 (1.12–1.40)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1.98 (1.09–3.61)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Rofecoxib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2.39 (2.02–2.82)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4.42 (2.35–8.31)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Sildenafil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4.04 (3.74–4.35)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5.44 (3.57–8.28)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Streptomycin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9.18 (5.17–16.29)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8.80 (3.89–19.93)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Tadalafil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4.42 (4.07–4.79)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4.43 (2.71–7.22)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Terbinafine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3.29 (2.70–4.01)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3.09 (1.28–7.48)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Tobramycin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4.82 (4.23–5.49)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23.12 (14.12–37.86)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Tofacitinib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3.27 (3.11–3.45)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1.39 (1.05–1.84)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Tozinameran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2.36 (1.76–3.15)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7.04 (5.70–8.69)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Travoprost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3.71 (3.13–4.40)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4.96 (1.58–15.54)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Vancomycin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2.21 (1.93–2.54)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12.16 (8.87–16.67)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Acetazolamide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2.96 (1.68–5.23)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5.11 (1.63–16.07)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Amikacin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17.86 (15.66–20.37)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21.25 (6.56–68.80)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Amitriptyline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1.68 (1.33–2.12)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1.96 (1.08–3.56)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Amlodipine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3.06 (2.79–3.36)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2.50 (1.52–4.10)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Aspirin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3.01 (2.78–3.26)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7.51 (6.19–9.10)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Atenolol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2.91 (2.35–3.62)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3.91 (1.94–7.88)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Azithromycin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5.76 (5.09–6.52)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6.00 (3.92–9.19)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Bisoprolol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13.85 (12.39–15.49)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3.29 (1.23–8.83)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Bupropion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7.90 (7.42–8.41)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4.51 (3.47–5.87)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Buspirone Hydrochloride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3.84 (2.85–5.16)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8.70 (3.20–23.61)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Candesartan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11.72 (10.40–13.22)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2.80 (1.68–4.68)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Celecoxib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1.67 (1.42–1.95)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1.70 (1.09–2.65)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Chlorthalidone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1.94 (1.04–3.62)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4.57 (1.70–12.29)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23.45 (8.56–64.21)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3.98 (1.48–10.70)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Ciprofloxacin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12.72 (11.92–13.57)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4.98 (3.77–6.58)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Cisplatin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2.33 (2.05–2.65)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5.81 (3.58–9.43)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Citalopram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2.37 (2.05–2.75)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1.77 (1.00–3.13)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Clonazepam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2.99 (2.64–3.38)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3.58 (2.18–5.88)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Cyclobenzaprine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 (1.12–2.22)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2.96 (1.10–7.95)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Desvenlafaxine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4.74 (4.15–5.40)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4.16 (2.14–8.06)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Dexchlorpheniramine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4.34 (2.16–8.71)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2.80 (1.16–6.78)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Diltiazem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1.70 (1.28–2.26)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4.05 (2.23–7.38)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Doxycycline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4.54 (3.88–5.31)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2.36 (1.12–4.97)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Duloxetine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12.40 (11.80–13.04)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4.16 (2.92–5.92)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Elasomeran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3.62 (1.94–6.74)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3.50 (2.26–5.43)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Felodipine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73.24 (63.47–84.52)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5.34 (1.70–16.75)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Finasteride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9.73 (8.63–10.95)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3.04 (1.26–7.37)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Gabapentin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2.02 (1.82–2.25)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4.21 (2.83–6.28)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Galcanezumab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1.86 (1.52–2.28)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16.70 (6.73–41.48)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Gentamicin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5.75 (4.28–7.72)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8.48 (5.55–12.97)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Ibuprofen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1.51 (1.34–1.69)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2.89 (2.07–4.04)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Indapamide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2.05 (1.29–3.26)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3.44 (1.53–7.71)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Indomethacin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2.54 (1.53–4.22)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2.68 (1.39–5.20)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Irbesartan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3.15 (2.50–3.97)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2.26 (1.01–5.07)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Isotretinoin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2.69 (2.35–3.08)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3.17 (1.69–5.94)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Lidocaine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1.67 (1.35–2.05)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2.85 (1.61–5.04)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Liothyronine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4.90 (3.56–6.75)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16.73 (5.22–53.59)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Mefloquine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27.80 (22.24–34.74)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14.52 (7.08–29.79)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Minocycline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4.01 (3.02–5.31)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3.49 (1.65–7.36)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Moxifloxacin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3.51 (2.99–4.13)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4.65 (3.01–7.18)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Naproxen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3.05 (2.77–3.35)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2.42 (1.60–3.66)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Nifedipine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1.51 (1.01–2.26)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2.95 (1.40–6.22)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Norfloxacin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4.63 (2.19–9.75)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6.03 (2.23–16.29)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Nortriptyline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2.80 (1.94–4.04)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3.96 (1.76–8.87)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Paromomycin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27.75 (8.63–89.29)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262.76 (53.09–1300.46)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Paroxetine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5.19 (4.74–5.69)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5.12 (3.70–7.11)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Penicillin G Procaine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7.93 (3.27–19.22)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10.12 (4.12–24.86)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Perindopril Erbumine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2.33 (1.05–5.20)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 (2.02–6.37)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Propranolol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 (1.40–2.28)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2.31 (1.03–5.17)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Quinine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7.11 (5.09–9.94)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23.00 (11.99–44.15)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Rofecoxib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2.53 (2.13–3.02)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2.26 (1.12–4.54)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Sildenafil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2.28 (1.99–2.61)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2.59 (1.46–4.59)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Streptomycin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3.37 (1.08–10.51)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10.88 (6.31–18.74)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Telmisartan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3.22 (2.49–4.17)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2.02 (1.00–4.07)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Terbinafine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2.95 (2.28–3.82)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2.87 (1.36–6.07)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Tobramycin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6.04 (5.12–7.12)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6.50 (3.06–13.80)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Topiramate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2.68 (2.32–3.09)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1.99 (1.03–3.84)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Tozinameran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6.53 (5.01–8.50)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10.11 (8.46–12.07)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Tramadol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1.46 (1.26–1.69)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1.99 (1.07–3.72)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Trazodone Hydrochloride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 (1.03–1.72)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4.63 (2.61–8.20)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Valsartan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1.43 (1.29–1.59)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2.23 (1.31–3.80)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Vancomycin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1.68 (1.37–2.07)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2.03 (1.05–3.92)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Venlafaxine Hydrochloride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4.96 (4.57–5.38)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3.15 (1.40–7.05)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Vortioxetine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2.74 (2.21–3.40)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3.06 (1.14–8.20)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Heading1"/>
      </w:pPr>
      <w:bookmarkStart w:id="18" w:name="_0bf7b5a3bbc2d2eab0d7542e2be21510184277b"/>
      <w:r>
        <w:t xml:space="preserve">Table S6. Signals of previous screens available only from abstracts</w:t>
      </w:r>
      <w:bookmarkEnd w:id="1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Reported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Replicated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Robust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drugs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narasimhaswamy2026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tinnitus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narasimhaswamy2026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tinnitus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IBUPROFEN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tinnitus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CIPROFLOXACIN;DULOXETINE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hearing_loss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Which drug–hearing-loss signals in FAERS survive adjustment and independent replication?</dc:title>
  <dc:creator>Oleg Tropynin</dc:creator>
  <cp:keywords/>
  <dcterms:created xsi:type="dcterms:W3CDTF">2026-10-25T23:37:08Z</dcterms:created>
  <dcterms:modified xsi:type="dcterms:W3CDTF">2026-10-25T23:37:08Z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