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Oleg Tropynin</w:t>
      </w:r>
    </w:p>
    <w:p>
      <w:pPr>
        <w:spacing w:after="0"/>
      </w:pPr>
      <w:r>
        <w:t>Independent researcher, Karaganda, Kazakhstan</w:t>
      </w:r>
    </w:p>
    <w:p>
      <w:pPr>
        <w:spacing w:after="200"/>
      </w:pPr>
      <w:r>
        <w:t>tropininoleg@gmail.com</w:t>
      </w:r>
    </w:p>
    <w:p>
      <w:pPr>
        <w:spacing w:after="200"/>
      </w:pPr>
      <w:r>
        <w:t>26 October 2026</w:t>
      </w:r>
    </w:p>
    <w:p>
      <w:pPr>
        <w:spacing w:after="200"/>
      </w:pPr>
      <w:r>
        <w:t>The Editor, Icarus</w:t>
      </w:r>
    </w:p>
    <w:p>
      <w:pPr>
        <w:spacing w:after="200"/>
      </w:pPr>
      <w:r>
        <w:t>Manuscript ICARUS-D-26-00681</w:t>
      </w:r>
    </w:p>
    <w:p>
      <w:pPr>
        <w:spacing w:after="200"/>
      </w:pPr>
      <w:r>
        <w:t>Dear Editor,</w:t>
      </w:r>
    </w:p>
    <w:p>
      <w:pPr>
        <w:spacing w:after="200"/>
        <w:jc w:val="both"/>
      </w:pPr>
      <w:r>
        <w:t>I submit the manuscript "Rotation periods and spin senses of asteroids from Gaia DR3 sparse photometry: calibrated reliability, null tests and disputed LCDB periods" for consideration as a regular paper in Icarus.</w:t>
      </w:r>
    </w:p>
    <w:p>
      <w:pPr>
        <w:spacing w:after="200"/>
        <w:jc w:val="both"/>
      </w:pPr>
      <w:r>
        <w:t>Gaia DR3 provides sparse photometry for about 157,000 asteroids, and several groups have derived periods from it. What is still missing is a measured error rate that transfers to asteroids not already in other catalogues. The manuscript provides one.</w:t>
      </w:r>
    </w:p>
    <w:p>
      <w:pPr>
        <w:spacing w:after="200"/>
        <w:jc w:val="both"/>
      </w:pPr>
      <w:r>
        <w:t>All choices are fixed on a tuning half of the known periods or by null tests that keep the real Gaia sampling. The reliability is then reported on an untouched test half: 89% of confident periods are correct, and 95% where the reference period is of high quality.</w:t>
      </w:r>
    </w:p>
    <w:p>
      <w:pPr>
        <w:spacing w:after="200"/>
        <w:jc w:val="both"/>
      </w:pPr>
      <w:r>
        <w:t>The phase-angle-bisector correction also yields a spin sense for each confident period. These senses agree with published poles for 94–98% of asteroids, and they reproduce the known Yarkovsky segregation in collisional families.</w:t>
      </w:r>
    </w:p>
    <w:p>
      <w:pPr>
        <w:spacing w:after="0"/>
      </w:pPr>
      <w:r>
        <w:t>As by-products, the paper lists:</w:t>
      </w:r>
    </w:p>
    <w:p>
      <w:pPr>
        <w:tabs>
          <w:tab w:pos="425" w:val="left"/>
        </w:tabs>
        <w:spacing w:after="0"/>
        <w:ind w:left="425" w:hanging="283"/>
      </w:pPr>
      <w:r>
        <w:t>•</w:t>
        <w:tab/>
        <w:t>108 periods in the current LCDB that independent data or other Gaia analyses dispute (nine further cases have already been revised in the 2023 LCDB to the values found here);</w:t>
      </w:r>
    </w:p>
    <w:p>
      <w:pPr>
        <w:tabs>
          <w:tab w:pos="425" w:val="left"/>
        </w:tabs>
        <w:spacing w:after="200"/>
        <w:ind w:left="425" w:hanging="283"/>
      </w:pPr>
      <w:r>
        <w:t>•</w:t>
        <w:tab/>
        <w:t>861 candidate new periods, for observers to confirm.</w:t>
      </w:r>
    </w:p>
    <w:p>
      <w:pPr>
        <w:spacing w:after="200"/>
      </w:pPr>
      <w:r>
        <w:t>The pipeline runs on all of DR3 in about 20 minutes and is ready for Gaia DR4.</w:t>
      </w:r>
    </w:p>
    <w:p>
      <w:pPr>
        <w:spacing w:after="200"/>
        <w:jc w:val="both"/>
      </w:pPr>
      <w:r>
        <w:t>The catalogue, code and validation tables are openly available on Zenodo (doi:10.5281/zenodo.23638281), where a preprint of the manuscript is also deposited. A short research note on a 600-asteroid pilot of an earlier version of the method was submitted to RNAAS; the present manuscript supersedes its method and validation.</w:t>
      </w:r>
    </w:p>
    <w:p>
      <w:pPr>
        <w:spacing w:after="200"/>
      </w:pPr>
      <w:r>
        <w:t>Thank you for considering this work.</w:t>
      </w:r>
    </w:p>
    <w:p>
      <w:pPr>
        <w:spacing w:after="200"/>
      </w:pPr>
      <w:r>
        <w:t>Sincerely,</w:t>
      </w:r>
    </w:p>
    <w:p>
      <w:pPr>
        <w:spacing w:after="200"/>
      </w:pPr>
      <w:r>
        <w:t>Oleg Tropynin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