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Oleg Tropynin</w:t>
      </w:r>
      <w:r>
        <w:t xml:space="preserve"> </w:t>
      </w:r>
      <w:r>
        <w:t xml:space="preserve">Independent researcher, Karaganda, Kazakhstan</w:t>
      </w:r>
      <w:r>
        <w:t xml:space="preserve"> </w:t>
      </w:r>
      <w:r>
        <w:t xml:space="preserve">ORCID 0009-0006-5431-4285 · tropininoleg@gmail.com</w:t>
      </w:r>
    </w:p>
    <w:p>
      <w:pPr>
        <w:pStyle w:val="BodyText"/>
      </w:pPr>
      <w:r>
        <w:t xml:space="preserve">The Editor-in-Chief</w:t>
      </w:r>
      <w:r>
        <w:t xml:space="preserve"> </w:t>
      </w:r>
      <w:r>
        <w:t xml:space="preserve">Journal of Anesthesia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submit the Original Article</w:t>
      </w:r>
      <w:r>
        <w:t xml:space="preserve"> </w:t>
      </w:r>
      <w:r>
        <w:t xml:space="preserve">“How much recorded intraoperative hypotension is arterial-line</w:t>
      </w:r>
      <w:r>
        <w:t xml:space="preserve"> </w:t>
      </w:r>
      <w:r>
        <w:t xml:space="preserve">artefact, and does it bias the association with creatinine-defined acute kidney injury? A</w:t>
      </w:r>
      <w:r>
        <w:t xml:space="preserve"> </w:t>
      </w:r>
      <w:r>
        <w:t xml:space="preserve">waveform-referenced cohort study”</w:t>
      </w:r>
      <w:r>
        <w:t xml:space="preserve"> </w:t>
      </w:r>
      <w:r>
        <w:t xml:space="preserve">for consideration in the Journal of Anesthesia.</w:t>
      </w:r>
    </w:p>
    <w:p>
      <w:pPr>
        <w:pStyle w:val="BodyText"/>
      </w:pPr>
      <w:r>
        <w:t xml:space="preserve">Thresholds for intraoperative hypotension come largely from retrospective analyses of</w:t>
      </w:r>
      <w:r>
        <w:t xml:space="preserve"> </w:t>
      </w:r>
      <w:r>
        <w:t xml:space="preserve">monitor numbers that inherit every flush, blood sample, zeroing and cuff inflation on the</w:t>
      </w:r>
      <w:r>
        <w:t xml:space="preserve"> </w:t>
      </w:r>
      <w:r>
        <w:t xml:space="preserve">arterial line. Earlier studies compared artefact filters with one another or extrapolated</w:t>
      </w:r>
      <w:r>
        <w:t xml:space="preserve"> </w:t>
      </w:r>
      <w:r>
        <w:t xml:space="preserve">their effect on outcomes. Using the open VitalDB dataset, we instead labelled each 2-s monitor</w:t>
      </w:r>
      <w:r>
        <w:t xml:space="preserve"> </w:t>
      </w:r>
      <w:r>
        <w:t xml:space="preserve">value from the simultaneously recorded 500 Hz arterial waveform and compared that</w:t>
      </w:r>
      <w:r>
        <w:t xml:space="preserve"> </w:t>
      </w:r>
      <w:r>
        <w:t xml:space="preserve">waveform-referenced series with 420 retrospective processing pipelines in 3,249 patients.</w:t>
      </w:r>
    </w:p>
    <w:p>
      <w:pPr>
        <w:pStyle w:val="BodyText"/>
      </w:pPr>
      <w:r>
        <w:t xml:space="preserve">The main findings are:</w:t>
      </w:r>
      <w:r>
        <w:t xml:space="preserve"> </w:t>
      </w:r>
      <w:r>
        <w:t xml:space="preserve">- With a per-minute median and a range filter, 0.7% of recorded hypotensive minutes were</w:t>
      </w:r>
      <w:r>
        <w:t xml:space="preserve"> </w:t>
      </w:r>
      <w:r>
        <w:t xml:space="preserve">spurious against the waveform reference, and the ratio of adjusted odds ratios for AKI was</w:t>
      </w:r>
      <w:r>
        <w:t xml:space="preserve"> </w:t>
      </w:r>
      <w:r>
        <w:t xml:space="preserve">0.96 (0.86–1.06), within a pre-specified equivalence margin. We report openly that this</w:t>
      </w:r>
      <w:r>
        <w:t xml:space="preserve"> </w:t>
      </w:r>
      <w:r>
        <w:t xml:space="preserve">verdict is fragile: two AKI cases among the 28 reclassified patients would have made it</w:t>
      </w:r>
      <w:r>
        <w:t xml:space="preserve"> </w:t>
      </w:r>
      <w:r>
        <w:t xml:space="preserve">inconclusive.</w:t>
      </w:r>
      <w:r>
        <w:t xml:space="preserve"> </w:t>
      </w:r>
      <w:r>
        <w:t xml:space="preserve">- Running-median smoothing and unfiltered area-based exposures distort measured hypotension,</w:t>
      </w:r>
      <w:r>
        <w:t xml:space="preserve"> </w:t>
      </w:r>
      <w:r>
        <w:t xml:space="preserve">and resolution changes the share of exposed patients by a fifth.</w:t>
      </w:r>
      <w:r>
        <w:t xml:space="preserve"> </w:t>
      </w:r>
      <w:r>
        <w:t xml:space="preserve">- Arterial artefact rises sixfold during the non-invasive cuff cycle, mostly as a</w:t>
      </w:r>
      <w:r>
        <w:t xml:space="preserve"> </w:t>
      </w:r>
      <w:r>
        <w:t xml:space="preserve">non-pulsatile trace; we present arm occlusion as a hypothesis, not a finding.</w:t>
      </w:r>
    </w:p>
    <w:p>
      <w:pPr>
        <w:pStyle w:val="BodyText"/>
      </w:pPr>
      <w:r>
        <w:t xml:space="preserve">The analysis protocol was frozen in a tagged git commit after a full dry run on a permuted</w:t>
      </w:r>
      <w:r>
        <w:t xml:space="preserve"> </w:t>
      </w:r>
      <w:r>
        <w:t xml:space="preserve">outcome, before any exposure–outcome association was computed; every later change is listed</w:t>
      </w:r>
      <w:r>
        <w:t xml:space="preserve"> </w:t>
      </w:r>
      <w:r>
        <w:t xml:space="preserve">with its date and reason in Online Resource 1. Code, protocol, aggregate results and a blinded</w:t>
      </w:r>
      <w:r>
        <w:t xml:space="preserve"> </w:t>
      </w:r>
      <w:r>
        <w:t xml:space="preserve">400-snippet adjudication set are public (https://doi.org/10.5281/zenodo.23726000).</w:t>
      </w:r>
    </w:p>
    <w:p>
      <w:pPr>
        <w:pStyle w:val="BodyText"/>
      </w:pPr>
      <w:r>
        <w:t xml:space="preserve">As required by the journal, the use of a large language model (Claude Opus 5.5, Anthropic) is</w:t>
      </w:r>
      <w:r>
        <w:t xml:space="preserve"> </w:t>
      </w:r>
      <w:r>
        <w:t xml:space="preserve">described in the Methods and in the declarations: it wrote analysis code, reviewed the methods,</w:t>
      </w:r>
      <w:r>
        <w:t xml:space="preserve"> </w:t>
      </w:r>
      <w:r>
        <w:t xml:space="preserve">simulated peer review, drafted text and served as a secondary blinded rater, under my direction.</w:t>
      </w:r>
      <w:r>
        <w:t xml:space="preserve"> </w:t>
      </w:r>
      <w:r>
        <w:t xml:space="preserve">I checked all code, outputs and text and take full responsibility for the content. The AI system</w:t>
      </w:r>
      <w:r>
        <w:t xml:space="preserve"> </w:t>
      </w:r>
      <w:r>
        <w:t xml:space="preserve">is not an author.</w:t>
      </w:r>
    </w:p>
    <w:p>
      <w:pPr>
        <w:pStyle w:val="BodyText"/>
      </w:pPr>
      <w:r>
        <w:t xml:space="preserve">The manuscript has 3,994 words of main text, a 250-word structured abstract, 3 tables, 4 figures</w:t>
      </w:r>
      <w:r>
        <w:t xml:space="preserve"> </w:t>
      </w:r>
      <w:r>
        <w:t xml:space="preserve">and 32 references; supplementary material is in Online Resource 1. Colour figures are requested for</w:t>
      </w:r>
      <w:r>
        <w:t xml:space="preserve"> </w:t>
      </w:r>
      <w:r>
        <w:t xml:space="preserve">the online version only. The work has not been</w:t>
      </w:r>
      <w:r>
        <w:t xml:space="preserve"> </w:t>
      </w:r>
      <w:r>
        <w:t xml:space="preserve">published and is not under consideration elsewhere; the manuscript and code are archived in a</w:t>
      </w:r>
      <w:r>
        <w:t xml:space="preserve"> </w:t>
      </w:r>
      <w:r>
        <w:t xml:space="preserve">public repository (GitHub/Zenodo), which is not a journal publication. There was no funding and</w:t>
      </w:r>
      <w:r>
        <w:t xml:space="preserve"> </w:t>
      </w:r>
      <w:r>
        <w:t xml:space="preserve">I have no competing interests. The study used only de-identified public data whose collection</w:t>
      </w:r>
      <w:r>
        <w:t xml:space="preserve"> </w:t>
      </w:r>
      <w:r>
        <w:t xml:space="preserve">and release were approved by the Institutional Review Board of Seoul National University</w:t>
      </w:r>
      <w:r>
        <w:t xml:space="preserve"> </w:t>
      </w:r>
      <w:r>
        <w:t xml:space="preserve">Hospital (H-1408-101-605).</w:t>
      </w:r>
    </w:p>
    <w:p>
      <w:pPr>
        <w:pStyle w:val="BodyText"/>
      </w:pPr>
      <w:r>
        <w:t xml:space="preserve">Thank you for considering this manuscript.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Oleg Tropynin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2026-10-28T10:00:22Z</dcterms:created>
  <dcterms:modified xsi:type="dcterms:W3CDTF">2026-10-28T10:00:22Z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