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1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0d512dfab8ff4547c81a82cbb795ca48866f8a8"/>
      <w:r>
        <w:t xml:space="preserve">Supplementary Methods</w:t>
      </w:r>
      <w:bookmarkEnd w:id="9"/>
    </w:p>
    <w:p>
      <w:pPr>
        <w:pStyle w:val="Heading2"/>
      </w:pPr>
      <w:bookmarkStart w:id="10" w:name="_79a16da6172d33064a3f8dfc3eed04016d90e7e"/>
      <w:r>
        <w:t xml:space="preserve">S1. Waveform features and classifier</w:t>
      </w:r>
      <w:bookmarkEnd w:id="10"/>
    </w:p>
    <w:p>
      <w:pPr>
        <w:pStyle w:val="FirstParagraph"/>
      </w:pPr>
      <w:r>
        <w:rPr>
          <w:b/>
          <w:bCs/>
        </w:rPr>
        <w:t xml:space="preserve">Features.</w:t>
      </w:r>
      <w:r>
        <w:t xml:space="preserve"> </w:t>
      </w:r>
      <w:r>
        <w:t xml:space="preserve">For every 2-s window of the 500 Hz waveform we computed:</w:t>
      </w:r>
      <w:r>
        <w:t xml:space="preserve"> </w:t>
      </w:r>
      <w:r>
        <w:t xml:space="preserve">- the fraction of finite samples;</w:t>
      </w:r>
      <w:r>
        <w:t xml:space="preserve"> </w:t>
      </w:r>
      <w:r>
        <w:t xml:space="preserve">- the mean, minimum, maximum, 2nd, 10th, 90th and 98th centiles;</w:t>
      </w:r>
      <w:r>
        <w:t xml:space="preserve"> </w:t>
      </w:r>
      <w:r>
        <w:t xml:space="preserve">- the median absolute second difference;</w:t>
      </w:r>
      <w:r>
        <w:t xml:space="preserve"> </w:t>
      </w:r>
      <w:r>
        <w:t xml:space="preserve">- the number of systolic upstrokes in the window and in the centred 6-s window.</w:t>
      </w:r>
    </w:p>
    <w:p>
      <w:pPr>
        <w:pStyle w:val="BodyText"/>
      </w:pPr>
      <w:r>
        <w:t xml:space="preserve">An upstroke is a rise of more than 8 mmHg within 100 ms after 20-ms smoothing; successive</w:t>
      </w:r>
      <w:r>
        <w:t xml:space="preserve"> </w:t>
      </w:r>
      <w:r>
        <w:t xml:space="preserve">upstrokes are at least 250 ms apart.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The labels, thresholds and guard margins are given in the Methods.</w:t>
      </w:r>
    </w:p>
    <w:p>
      <w:pPr>
        <w:pStyle w:val="BodyText"/>
      </w:pPr>
      <w:r>
        <w:rPr>
          <w:b/>
          <w:bCs/>
        </w:rPr>
        <w:t xml:space="preserve">Cases without a waveform.</w:t>
      </w:r>
      <w:r>
        <w:t xml:space="preserve"> </w:t>
      </w:r>
      <w:r>
        <w:t xml:space="preserve">Of 3,645 cases with a listed waveform track, 211 returned no</w:t>
      </w:r>
      <w:r>
        <w:t xml:space="preserve"> </w:t>
      </w:r>
      <w:r>
        <w:t xml:space="preserve">waveform through the VitalDB API on 26 October 2026. Their case identifiers are released with</w:t>
      </w:r>
      <w:r>
        <w:t xml:space="preserve"> </w:t>
      </w:r>
      <w:r>
        <w:t xml:space="preserve">the code.</w:t>
      </w:r>
    </w:p>
    <w:p>
      <w:pPr>
        <w:pStyle w:val="BodyText"/>
      </w:pPr>
      <w:r>
        <w:rPr>
          <w:b/>
          <w:bCs/>
        </w:rPr>
        <w:t xml:space="preserve">Threshold tuning.</w:t>
      </w:r>
      <w:r>
        <w:t xml:space="preserve"> </w:t>
      </w:r>
      <w:r>
        <w:t xml:space="preserve">The noise threshold, the upstroke rule and the guard length were set by</w:t>
      </w:r>
      <w:r>
        <w:t xml:space="preserve"> </w:t>
      </w:r>
      <w:r>
        <w:t xml:space="preserve">inspecting outcome-free descriptive data from fewer than 600 cases during development. The</w:t>
      </w:r>
      <w:r>
        <w:t xml:space="preserve"> </w:t>
      </w:r>
      <w:r>
        <w:t xml:space="preserve">rule discarded before the freeze (beat-lag autocorrelation) labelled 12% of windows as</w:t>
      </w:r>
      <w:r>
        <w:t xml:space="preserve"> </w:t>
      </w:r>
      <w:r>
        <w:t xml:space="preserve">non-pulsatile in patients with atrial fibrillation against 1% in sinus rhythm, at pulse</w:t>
      </w:r>
      <w:r>
        <w:t xml:space="preserve"> </w:t>
      </w:r>
      <w:r>
        <w:t xml:space="preserve">pressures of 56–83 mmHg.</w:t>
      </w:r>
    </w:p>
    <w:p>
      <w:pPr>
        <w:pStyle w:val="Heading2"/>
      </w:pPr>
      <w:bookmarkStart w:id="11" w:name="_8b8582685fc3b4015e6b62de9886a1fccd97fd8"/>
      <w:r>
        <w:t xml:space="preserve">S2. Interval for the ratio of odds ratios (amendment A15)</w:t>
      </w:r>
      <w:bookmarkEnd w:id="11"/>
    </w:p>
    <w:p>
      <w:pPr>
        <w:pStyle w:val="FirstParagraph"/>
      </w:pPr>
      <w:r>
        <w:rPr>
          <w:b/>
          <w:bCs/>
        </w:rPr>
        <w:t xml:space="preserve">Why the bootstrap failed.</w:t>
      </w:r>
      <w:r>
        <w:t xml:space="preserve"> </w:t>
      </w:r>
      <w:r>
        <w:t xml:space="preserve">Exposure categories under F1 × R3 and the reference differed in</w:t>
      </w:r>
      <w:r>
        <w:t xml:space="preserve"> </w:t>
      </w:r>
      <w:r>
        <w:t xml:space="preserve">33 of 2,563 patients. Bootstrap resamples change few of these patients, so the bootstrap</w:t>
      </w:r>
      <w:r>
        <w:t xml:space="preserve"> </w:t>
      </w:r>
      <w:r>
        <w:t xml:space="preserve">distribution of log ROR is spiky and its central 95% is narrow. In 100 permutations of the</w:t>
      </w:r>
      <w:r>
        <w:t xml:space="preserve"> </w:t>
      </w:r>
      <w:r>
        <w:t xml:space="preserve">outcome, under which the true ROR is exactly 1, the percentile interval covered 1 in 51% of</w:t>
      </w:r>
      <w:r>
        <w:t xml:space="preserve"> </w:t>
      </w:r>
      <w:r>
        <w:t xml:space="preserve">datasets for F1 × R3, 79% for F0 × R1, 89% for F3 × R2 and 91% for F6 × R3.</w:t>
      </w:r>
    </w:p>
    <w:p>
      <w:pPr>
        <w:pStyle w:val="BodyText"/>
      </w:pPr>
      <w:r>
        <w:rPr>
          <w:b/>
          <w:bCs/>
        </w:rPr>
        <w:t xml:space="preserve">The rule.</w:t>
      </w:r>
      <w:r>
        <w:t xml:space="preserve"> </w:t>
      </w:r>
      <w:r>
        <w:t xml:space="preserve">Before the real outcome was examined, a written rule set every ROR-type interval</w:t>
      </w:r>
      <w:r>
        <w:t xml:space="preserve"> </w:t>
      </w:r>
      <w:r>
        <w:t xml:space="preserve">to log ROR ± z × max(bootstrap SE, permutation-null SD). The permutation-null SD came from</w:t>
      </w:r>
      <w:r>
        <w:t xml:space="preserve"> </w:t>
      </w:r>
      <w:r>
        <w:t xml:space="preserve">200 permutations of the analysed outcome. The same SE was used for the simultaneous bands,</w:t>
      </w:r>
      <w:r>
        <w:t xml:space="preserve"> </w:t>
      </w:r>
      <w:r>
        <w:t xml:space="preserve">whose critical value is the bootstrap max-|z| over the 35 cells (3.22).</w:t>
      </w:r>
    </w:p>
    <w:p>
      <w:pPr>
        <w:pStyle w:val="BodyText"/>
      </w:pPr>
      <w:r>
        <w:rPr>
          <w:b/>
          <w:bCs/>
        </w:rPr>
        <w:t xml:space="preserve">Coverage check.</w:t>
      </w:r>
      <w:r>
        <w:t xml:space="preserve"> </w:t>
      </w:r>
      <w:r>
        <w:t xml:space="preserve">The SD was estimated from 200 permutations in the dry run, independent of</w:t>
      </w:r>
      <w:r>
        <w:t xml:space="preserve"> </w:t>
      </w:r>
      <w:r>
        <w:t xml:space="preserve">the 100 calibration datasets. With that SD, the interval covered 1 in 100%, 99%, 100% and 97%</w:t>
      </w:r>
      <w:r>
        <w:t xml:space="preserve"> </w:t>
      </w:r>
      <w:r>
        <w:t xml:space="preserve">of calibration datasets for the four pairs.</w:t>
      </w:r>
    </w:p>
    <w:p>
      <w:pPr>
        <w:pStyle w:val="BodyText"/>
      </w:pPr>
      <w:r>
        <w:rPr>
          <w:b/>
          <w:bCs/>
        </w:rPr>
        <w:t xml:space="preserve">Operating characteristics at the margin.</w:t>
      </w:r>
      <w:r>
        <w:t xml:space="preserve"> </w:t>
      </w:r>
      <w:r>
        <w:t xml:space="preserve">Outcomes were simulated from the fully adjusted</w:t>
      </w:r>
      <w:r>
        <w:t xml:space="preserve"> </w:t>
      </w:r>
      <w:r>
        <w:t xml:space="preserve">reference model, adding a log-odds shift γ in the patients moved upwards by the pipeline. We</w:t>
      </w:r>
      <w:r>
        <w:t xml:space="preserve"> </w:t>
      </w:r>
      <w:r>
        <w:t xml:space="preserve">chose γ = 1.91 so that the median simulated ROR was 1.24. In 200 datasets, each analysed with</w:t>
      </w:r>
      <w:r>
        <w:t xml:space="preserve"> </w:t>
      </w:r>
      <w:r>
        <w:t xml:space="preserve">the full rule (200 bootstrap resamples and 200 permutations), equivalence was declared in 5%.</w:t>
      </w:r>
      <w:r>
        <w:t xml:space="preserve"> </w:t>
      </w:r>
      <w:r>
        <w:t xml:space="preserve">Without differential error (γ = 0) it was declared in 82%, and the interval covered 1 in 97%.</w:t>
      </w:r>
    </w:p>
    <w:p>
      <w:pPr>
        <w:pStyle w:val="BodyText"/>
      </w:pPr>
      <w:r>
        <w:t xml:space="preserve">Reaching the lower margin requires almost all five downward-moved patients to develop AKI. The</w:t>
      </w:r>
      <w:r>
        <w:t xml:space="preserve"> </w:t>
      </w:r>
      <w:r>
        <w:t xml:space="preserve">SD of log ROR under the simulated alternative (0.098) exceeded that under the null (0.062).</w:t>
      </w:r>
      <w:r>
        <w:t xml:space="preserve"> </w:t>
      </w:r>
      <w:r>
        <w:t xml:space="preserve">The bootstrap SE, which grows with the number of cases among the discordant patients, then</w:t>
      </w:r>
      <w:r>
        <w:t xml:space="preserve"> </w:t>
      </w:r>
      <w:r>
        <w:t xml:space="preserve">dominates the rule.</w:t>
      </w:r>
    </w:p>
    <w:p>
      <w:pPr>
        <w:pStyle w:val="Heading2"/>
      </w:pPr>
      <w:bookmarkStart w:id="12" w:name="_89b8691e8ad2f4e2d6600c630774fc376f4056f"/>
      <w:r>
        <w:t xml:space="preserve">S3. Blinded AI rating</w:t>
      </w:r>
      <w:bookmarkEnd w:id="12"/>
    </w:p>
    <w:p>
      <w:pPr>
        <w:pStyle w:val="FirstParagraph"/>
      </w:pPr>
      <w:r>
        <w:t xml:space="preserve">The 400-snippet adjudication set has five strata:</w:t>
      </w:r>
      <w:r>
        <w:t xml:space="preserve"> </w:t>
      </w:r>
      <w:r>
        <w:t xml:space="preserve">- 100 low-MAP windows flagged as artefact;</w:t>
      </w:r>
      <w:r>
        <w:t xml:space="preserve"> </w:t>
      </w:r>
      <w:r>
        <w:t xml:space="preserve">- 50 low-MAP windows labelled guard only;</w:t>
      </w:r>
      <w:r>
        <w:t xml:space="preserve"> </w:t>
      </w:r>
      <w:r>
        <w:t xml:space="preserve">- 100 low-MAP windows labelled valid;</w:t>
      </w:r>
      <w:r>
        <w:t xml:space="preserve"> </w:t>
      </w:r>
      <w:r>
        <w:t xml:space="preserve">- 100 random valid windows;</w:t>
      </w:r>
      <w:r>
        <w:t xml:space="preserve"> </w:t>
      </w:r>
      <w:r>
        <w:t xml:space="preserve">- 50 flagged windows with MAP ≥ 65 mmHg.</w:t>
      </w:r>
    </w:p>
    <w:p>
      <w:pPr>
        <w:pStyle w:val="BodyText"/>
      </w:pPr>
      <w:r>
        <w:t xml:space="preserve">There are at most two snippets per patient. A subset of 152 snippets was shown, as 26 grids of</w:t>
      </w:r>
      <w:r>
        <w:t xml:space="preserve"> </w:t>
      </w:r>
      <w:r>
        <w:t xml:space="preserve">six 40-s waveform panels, to two independent instances of an AI model (Claude, Anthropic). The</w:t>
      </w:r>
      <w:r>
        <w:t xml:space="preserve"> </w:t>
      </w:r>
      <w:r>
        <w:t xml:space="preserve">grids were in a folder that contained no key, code or labels. The raters could read files,</w:t>
      </w:r>
      <w:r>
        <w:t xml:space="preserve"> </w:t>
      </w:r>
      <w:r>
        <w:t xml:space="preserve">were instructed to open only the listed images, and saw only the waveform.</w:t>
      </w:r>
    </w:p>
    <w:p>
      <w:pPr>
        <w:pStyle w:val="BodyText"/>
      </w:pPr>
      <w:r>
        <w:t xml:space="preserve">The prompt is released with the code. The subset is enriched for artefact (43% against 3.7%</w:t>
      </w:r>
      <w:r>
        <w:t xml:space="preserve"> </w:t>
      </w:r>
      <w:r>
        <w:t xml:space="preserve">in the data), which inflates κ.</w:t>
      </w:r>
    </w:p>
    <w:p>
      <w:pPr>
        <w:pStyle w:val="Heading2"/>
      </w:pPr>
      <w:bookmarkStart w:id="13" w:name="_31370464e7bf4052687e2718bcda1fd80ac13c0"/>
      <w:r>
        <w:t xml:space="preserve">S4. Injection–recovery</w:t>
      </w:r>
      <w:bookmarkEnd w:id="13"/>
    </w:p>
    <w:p>
      <w:pPr>
        <w:pStyle w:val="FirstParagraph"/>
      </w:pPr>
      <w:r>
        <w:t xml:space="preserve">The implementation check used 296 clean 2-min segments from 100 cases. Synthetic flush,</w:t>
      </w:r>
      <w:r>
        <w:t xml:space="preserve"> </w:t>
      </w:r>
      <w:r>
        <w:t xml:space="preserve">zeroing, sampling, damping, noise and offset artefacts, after Li et al., were injected in the</w:t>
      </w:r>
      <w:r>
        <w:t xml:space="preserve"> </w:t>
      </w:r>
      <w:r>
        <w:t xml:space="preserve">middle 20 s.</w:t>
      </w:r>
    </w:p>
    <w:p>
      <w:pPr>
        <w:pStyle w:val="BodyText"/>
      </w:pPr>
      <w:r>
        <w:t xml:space="preserve">The post hoc sweep used 119 segments from 60 cases. It varied:</w:t>
      </w:r>
      <w:r>
        <w:t xml:space="preserve"> </w:t>
      </w:r>
      <w:r>
        <w:t xml:space="preserve">- flush amplitude (120–300 mmHg) and duration (0.5–4 s);</w:t>
      </w:r>
      <w:r>
        <w:t xml:space="preserve"> </w:t>
      </w:r>
      <w:r>
        <w:t xml:space="preserve">- open-transducer level (0–25 mmHg);</w:t>
      </w:r>
      <w:r>
        <w:t xml:space="preserve"> </w:t>
      </w:r>
      <w:r>
        <w:t xml:space="preserve">- damping cut-off (1.5–10 Hz);</w:t>
      </w:r>
      <w:r>
        <w:t xml:space="preserve"> </w:t>
      </w:r>
      <w:r>
        <w:t xml:space="preserve">- partial occlusion (pulse pressure scaled to 0.5–0.15);</w:t>
      </w:r>
      <w:r>
        <w:t xml:space="preserve"> </w:t>
      </w:r>
      <w:r>
        <w:t xml:space="preserve">- linear drift (10–40 mmHg over 20 s);</w:t>
      </w:r>
      <w:r>
        <w:t xml:space="preserve"> </w:t>
      </w:r>
      <w:r>
        <w:t xml:space="preserve">- 18-Hz ringing (5–20 mmHg);</w:t>
      </w:r>
      <w:r>
        <w:t xml:space="preserve"> </w:t>
      </w:r>
      <w:r>
        <w:t xml:space="preserve">- sampling without a terminal flush.</w:t>
      </w:r>
    </w:p>
    <w:p>
      <w:pPr>
        <w:pStyle w:val="BodyText"/>
      </w:pPr>
      <w:r>
        <w:t xml:space="preserve">Detection counted only artefact labels, not guard. Clean segments were selected as valid by</w:t>
      </w:r>
      <w:r>
        <w:t xml:space="preserve"> </w:t>
      </w:r>
      <w:r>
        <w:t xml:space="preserve">the classifier, so the absence of false labels in uninjected segments holds by construction.</w:t>
      </w:r>
    </w:p>
    <w:p>
      <w:pPr>
        <w:pStyle w:val="Heading2"/>
      </w:pPr>
      <w:bookmarkStart w:id="14" w:name="_a558526e97e5793ac9cd208fd58de28e659cf6e"/>
      <w:r>
        <w:t xml:space="preserve">S5. Real-time episode table</w:t>
      </w:r>
      <w:bookmarkEnd w:id="14"/>
    </w:p>
    <w:p>
      <w:pPr>
        <w:pStyle w:val="FirstParagraph"/>
      </w:pPr>
      <w:r>
        <w:t xml:space="preserve">For each episode and each elapsed time t (10, 30, 60 and 120 s), the nadir so far was the</w:t>
      </w:r>
      <w:r>
        <w:t xml:space="preserve"> </w:t>
      </w:r>
      <w:r>
        <w:t xml:space="preserve">lowest monitor MAP in the first t seconds. Episodes shorter than t were not counted at t. The</w:t>
      </w:r>
      <w:r>
        <w:t xml:space="preserve"> </w:t>
      </w:r>
      <w:r>
        <w:t xml:space="preserve">table therefore gives the probability that an episode is flagged, given that it has lasted at</w:t>
      </w:r>
      <w:r>
        <w:t xml:space="preserve"> </w:t>
      </w:r>
      <w:r>
        <w:t xml:space="preserve">least t seconds and reached a given nadir.</w:t>
      </w:r>
    </w:p>
    <w:p>
      <w:pPr>
        <w:pStyle w:val="Heading1"/>
      </w:pPr>
      <w:bookmarkStart w:id="15" w:name="_62d94d1e2e73e594f1d95f4c8b375c0afdd0b92"/>
      <w:r>
        <w:t xml:space="preserve">Supplementary tables</w:t>
      </w:r>
      <w:bookmarkEnd w:id="15"/>
    </w:p>
    <w:p>
      <w:pPr>
        <w:pStyle w:val="Heading2"/>
      </w:pPr>
      <w:bookmarkStart w:id="16" w:name="_aceea7cc2e3bf4cc8e47e68ac50ee3bcbd78796"/>
      <w:r>
        <w:t xml:space="preserve">Table S1. Recorded minutes with MAP &lt; 65 mmHg classified against the reference (descriptive cohort)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low_min</w:t>
            </w:r>
          </w:p>
        </w:tc>
        <w:tc>
          <w:tcPr/>
          <w:p>
            <w:pPr>
              <w:pStyle w:val="Compact"/>
            </w:pPr>
            <w:r>
              <w:t xml:space="preserve">spurious_frac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confirmed_frac</w:t>
            </w:r>
          </w:p>
        </w:tc>
        <w:tc>
          <w:tcPr/>
          <w:p>
            <w:pPr>
              <w:pStyle w:val="Compact"/>
            </w:pPr>
            <w:r>
              <w:t xml:space="preserve">bridged_low_frac</w:t>
            </w:r>
          </w:p>
        </w:tc>
        <w:tc>
          <w:tcPr/>
          <w:p>
            <w:pPr>
              <w:pStyle w:val="Compact"/>
            </w:pPr>
            <w:r>
              <w:t xml:space="preserve">indeterminate_frac</w:t>
            </w:r>
          </w:p>
        </w:tc>
        <w:tc>
          <w:tcPr/>
          <w:p>
            <w:pPr>
              <w:pStyle w:val="Compact"/>
            </w:pPr>
            <w:r>
              <w:t xml:space="preserve">patients_with_spurious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6.16e+04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2196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6.09e+04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2104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6.06e+04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5.84e+04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1921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5.91e+04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2683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6.22e+04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6.19e+04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6.2e+04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6.13e+04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6.2e+04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1098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6.09e+04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5.15e+04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5.93e+04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5.94e+04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5.88e+04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5.92e+04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5.92e+04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5.19e+04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1105</w:t>
            </w:r>
          </w:p>
        </w:tc>
      </w:tr>
    </w:tbl>
    <w:p>
      <w:pPr>
        <w:pStyle w:val="FirstParagraph"/>
      </w:pPr>
      <w:r>
        <w:t xml:space="preserve">low_min: pipeline minutes &lt; 65; fractions are of low_min; lo/hi: patient-cluster bootstrap 95% CI of the spurious fraction.</w:t>
      </w:r>
    </w:p>
    <w:p>
      <w:pPr>
        <w:pStyle w:val="Heading2"/>
      </w:pPr>
      <w:bookmarkStart w:id="17" w:name="_bcabdef22cda7942bc9db5a1edabb771a444129"/>
      <w:r>
        <w:t xml:space="preserve">Table S2. Agreement of the binary exposure (≥ 10 min MAP &lt; 65) with the reference (descriptive cohort)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prev_ref</w:t>
            </w:r>
          </w:p>
        </w:tc>
        <w:tc>
          <w:tcPr/>
          <w:p>
            <w:pPr>
              <w:pStyle w:val="Compact"/>
            </w:pPr>
            <w:r>
              <w:t xml:space="preserve">prev_pipe</w:t>
            </w: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w:r>
              <w:t xml:space="preserve">flips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mean_diff</w:t>
            </w:r>
          </w:p>
        </w:tc>
        <w:tc>
          <w:tcPr/>
          <w:p>
            <w:pPr>
              <w:pStyle w:val="Compact"/>
            </w:pPr>
            <w:r>
              <w:t xml:space="preserve">loa_lo</w:t>
            </w:r>
          </w:p>
        </w:tc>
        <w:tc>
          <w:tcPr/>
          <w:p>
            <w:pPr>
              <w:pStyle w:val="Compact"/>
            </w:pPr>
            <w:r>
              <w:t xml:space="preserve">loa_hi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-6.257</w:t>
            </w:r>
          </w:p>
        </w:tc>
        <w:tc>
          <w:tcPr/>
          <w:p>
            <w:pPr>
              <w:pStyle w:val="Compact"/>
            </w:pPr>
            <w:r>
              <w:t xml:space="preserve">7.975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-5.920</w:t>
            </w:r>
          </w:p>
        </w:tc>
        <w:tc>
          <w:tcPr/>
          <w:p>
            <w:pPr>
              <w:pStyle w:val="Compact"/>
            </w:pPr>
            <w:r>
              <w:t xml:space="preserve">7.056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-6.755</w:t>
            </w:r>
          </w:p>
        </w:tc>
        <w:tc>
          <w:tcPr/>
          <w:p>
            <w:pPr>
              <w:pStyle w:val="Compact"/>
            </w:pPr>
            <w:r>
              <w:t xml:space="preserve">7.567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-7.270</w:t>
            </w:r>
          </w:p>
        </w:tc>
        <w:tc>
          <w:tcPr/>
          <w:p>
            <w:pPr>
              <w:pStyle w:val="Compact"/>
            </w:pPr>
            <w:r>
              <w:t xml:space="preserve">8.280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-10.472</w:t>
            </w:r>
          </w:p>
        </w:tc>
        <w:tc>
          <w:tcPr/>
          <w:p>
            <w:pPr>
              <w:pStyle w:val="Compact"/>
            </w:pPr>
            <w:r>
              <w:t xml:space="preserve">11.567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-5.850</w:t>
            </w:r>
          </w:p>
        </w:tc>
        <w:tc>
          <w:tcPr/>
          <w:p>
            <w:pPr>
              <w:pStyle w:val="Compact"/>
            </w:pPr>
            <w:r>
              <w:t xml:space="preserve">7.135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-5.447</w:t>
            </w:r>
          </w:p>
        </w:tc>
        <w:tc>
          <w:tcPr/>
          <w:p>
            <w:pPr>
              <w:pStyle w:val="Compact"/>
            </w:pPr>
            <w:r>
              <w:t xml:space="preserve">6.392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0.330</w:t>
            </w:r>
          </w:p>
        </w:tc>
        <w:tc>
          <w:tcPr/>
          <w:p>
            <w:pPr>
              <w:pStyle w:val="Compact"/>
            </w:pPr>
            <w:r>
              <w:t xml:space="preserve">-6.309</w:t>
            </w:r>
          </w:p>
        </w:tc>
        <w:tc>
          <w:tcPr/>
          <w:p>
            <w:pPr>
              <w:pStyle w:val="Compact"/>
            </w:pPr>
            <w:r>
              <w:t xml:space="preserve">6.969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-7.039</w:t>
            </w:r>
          </w:p>
        </w:tc>
        <w:tc>
          <w:tcPr/>
          <w:p>
            <w:pPr>
              <w:pStyle w:val="Compact"/>
            </w:pPr>
            <w:r>
              <w:t xml:space="preserve">7.919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  <w:r>
              <w:t xml:space="preserve">-10.309</w:t>
            </w:r>
          </w:p>
        </w:tc>
        <w:tc>
          <w:tcPr/>
          <w:p>
            <w:pPr>
              <w:pStyle w:val="Compact"/>
            </w:pPr>
            <w:r>
              <w:t xml:space="preserve">11.288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-5.764</w:t>
            </w:r>
          </w:p>
        </w:tc>
        <w:tc>
          <w:tcPr/>
          <w:p>
            <w:pPr>
              <w:pStyle w:val="Compact"/>
            </w:pPr>
            <w:r>
              <w:t xml:space="preserve">6.872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-5.389</w:t>
            </w:r>
          </w:p>
        </w:tc>
        <w:tc>
          <w:tcPr/>
          <w:p>
            <w:pPr>
              <w:pStyle w:val="Compact"/>
            </w:pPr>
            <w:r>
              <w:t xml:space="preserve">6.352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-6.270</w:t>
            </w:r>
          </w:p>
        </w:tc>
        <w:tc>
          <w:tcPr/>
          <w:p>
            <w:pPr>
              <w:pStyle w:val="Compact"/>
            </w:pPr>
            <w:r>
              <w:t xml:space="preserve">6.992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-7.003</w:t>
            </w:r>
          </w:p>
        </w:tc>
        <w:tc>
          <w:tcPr/>
          <w:p>
            <w:pPr>
              <w:pStyle w:val="Compact"/>
            </w:pPr>
            <w:r>
              <w:t xml:space="preserve">7.939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0.522</w:t>
            </w:r>
          </w:p>
        </w:tc>
        <w:tc>
          <w:tcPr/>
          <w:p>
            <w:pPr>
              <w:pStyle w:val="Compact"/>
            </w:pPr>
            <w:r>
              <w:t xml:space="preserve">-10.193</w:t>
            </w:r>
          </w:p>
        </w:tc>
        <w:tc>
          <w:tcPr/>
          <w:p>
            <w:pPr>
              <w:pStyle w:val="Compact"/>
            </w:pPr>
            <w:r>
              <w:t xml:space="preserve">11.236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-0.119</w:t>
            </w:r>
          </w:p>
        </w:tc>
        <w:tc>
          <w:tcPr/>
          <w:p>
            <w:pPr>
              <w:pStyle w:val="Compact"/>
            </w:pPr>
            <w:r>
              <w:t xml:space="preserve">-4.023</w:t>
            </w:r>
          </w:p>
        </w:tc>
        <w:tc>
          <w:tcPr/>
          <w:p>
            <w:pPr>
              <w:pStyle w:val="Compact"/>
            </w:pPr>
            <w:r>
              <w:t xml:space="preserve">3.786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-3.688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-2.590</w:t>
            </w:r>
          </w:p>
        </w:tc>
        <w:tc>
          <w:tcPr/>
          <w:p>
            <w:pPr>
              <w:pStyle w:val="Compact"/>
            </w:pPr>
            <w:r>
              <w:t xml:space="preserve">2.958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0.373</w:t>
            </w:r>
          </w:p>
        </w:tc>
        <w:tc>
          <w:tcPr/>
          <w:p>
            <w:pPr>
              <w:pStyle w:val="Compact"/>
            </w:pPr>
            <w:r>
              <w:t xml:space="preserve">-5.929</w:t>
            </w:r>
          </w:p>
        </w:tc>
        <w:tc>
          <w:tcPr/>
          <w:p>
            <w:pPr>
              <w:pStyle w:val="Compact"/>
            </w:pPr>
            <w:r>
              <w:t xml:space="preserve">6.674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-9.428</w:t>
            </w:r>
          </w:p>
        </w:tc>
        <w:tc>
          <w:tcPr/>
          <w:p>
            <w:pPr>
              <w:pStyle w:val="Compact"/>
            </w:pPr>
            <w:r>
              <w:t xml:space="preserve">10.253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-4.599</w:t>
            </w:r>
          </w:p>
        </w:tc>
        <w:tc>
          <w:tcPr/>
          <w:p>
            <w:pPr>
              <w:pStyle w:val="Compact"/>
            </w:pPr>
            <w:r>
              <w:t xml:space="preserve">5.098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-5.146</w:t>
            </w:r>
          </w:p>
        </w:tc>
        <w:tc>
          <w:tcPr/>
          <w:p>
            <w:pPr>
              <w:pStyle w:val="Compact"/>
            </w:pPr>
            <w:r>
              <w:t xml:space="preserve">6.102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-5.850</w:t>
            </w:r>
          </w:p>
        </w:tc>
        <w:tc>
          <w:tcPr/>
          <w:p>
            <w:pPr>
              <w:pStyle w:val="Compact"/>
            </w:pPr>
            <w:r>
              <w:t xml:space="preserve">6.460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-6.860</w:t>
            </w:r>
          </w:p>
        </w:tc>
        <w:tc>
          <w:tcPr/>
          <w:p>
            <w:pPr>
              <w:pStyle w:val="Compact"/>
            </w:pPr>
            <w:r>
              <w:t xml:space="preserve">7.802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-9.917</w:t>
            </w:r>
          </w:p>
        </w:tc>
        <w:tc>
          <w:tcPr/>
          <w:p>
            <w:pPr>
              <w:pStyle w:val="Compact"/>
            </w:pPr>
            <w:r>
              <w:t xml:space="preserve">10.927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-4.601</w:t>
            </w:r>
          </w:p>
        </w:tc>
        <w:tc>
          <w:tcPr/>
          <w:p>
            <w:pPr>
              <w:pStyle w:val="Compact"/>
            </w:pPr>
            <w:r>
              <w:t xml:space="preserve">5.096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-5.131</w:t>
            </w:r>
          </w:p>
        </w:tc>
        <w:tc>
          <w:tcPr/>
          <w:p>
            <w:pPr>
              <w:pStyle w:val="Compact"/>
            </w:pPr>
            <w:r>
              <w:t xml:space="preserve">5.436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-5.847</w:t>
            </w:r>
          </w:p>
        </w:tc>
        <w:tc>
          <w:tcPr/>
          <w:p>
            <w:pPr>
              <w:pStyle w:val="Compact"/>
            </w:pPr>
            <w:r>
              <w:t xml:space="preserve">6.427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-6.648</w:t>
            </w:r>
          </w:p>
        </w:tc>
        <w:tc>
          <w:tcPr/>
          <w:p>
            <w:pPr>
              <w:pStyle w:val="Compact"/>
            </w:pPr>
            <w:r>
              <w:t xml:space="preserve">6.546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-0.322</w:t>
            </w:r>
          </w:p>
        </w:tc>
        <w:tc>
          <w:tcPr/>
          <w:p>
            <w:pPr>
              <w:pStyle w:val="Compact"/>
            </w:pPr>
            <w:r>
              <w:t xml:space="preserve">-10.248</w:t>
            </w:r>
          </w:p>
        </w:tc>
        <w:tc>
          <w:tcPr/>
          <w:p>
            <w:pPr>
              <w:pStyle w:val="Compact"/>
            </w:pPr>
            <w:r>
              <w:t xml:space="preserve">9.605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-4.794</w:t>
            </w:r>
          </w:p>
        </w:tc>
        <w:tc>
          <w:tcPr/>
          <w:p>
            <w:pPr>
              <w:pStyle w:val="Compact"/>
            </w:pPr>
            <w:r>
              <w:t xml:space="preserve">4.984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-2.736</w:t>
            </w:r>
          </w:p>
        </w:tc>
        <w:tc>
          <w:tcPr/>
          <w:p>
            <w:pPr>
              <w:pStyle w:val="Compact"/>
            </w:pPr>
            <w:r>
              <w:t xml:space="preserve">-12.533</w:t>
            </w:r>
          </w:p>
        </w:tc>
        <w:tc>
          <w:tcPr/>
          <w:p>
            <w:pPr>
              <w:pStyle w:val="Compact"/>
            </w:pPr>
            <w:r>
              <w:t xml:space="preserve">7.062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-1.934</w:t>
            </w:r>
          </w:p>
        </w:tc>
        <w:tc>
          <w:tcPr/>
          <w:p>
            <w:pPr>
              <w:pStyle w:val="Compact"/>
            </w:pPr>
            <w:r>
              <w:t xml:space="preserve">-11.830</w:t>
            </w:r>
          </w:p>
        </w:tc>
        <w:tc>
          <w:tcPr/>
          <w:p>
            <w:pPr>
              <w:pStyle w:val="Compact"/>
            </w:pPr>
            <w:r>
              <w:t xml:space="preserve">7.961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1009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-8.671</w:t>
            </w:r>
          </w:p>
        </w:tc>
        <w:tc>
          <w:tcPr/>
          <w:p>
            <w:pPr>
              <w:pStyle w:val="Compact"/>
            </w:pPr>
            <w:r>
              <w:t xml:space="preserve">-32.380</w:t>
            </w:r>
          </w:p>
        </w:tc>
        <w:tc>
          <w:tcPr/>
          <w:p>
            <w:pPr>
              <w:pStyle w:val="Compact"/>
            </w:pPr>
            <w:r>
              <w:t xml:space="preserve">15.038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1372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1370</w:t>
            </w:r>
          </w:p>
        </w:tc>
        <w:tc>
          <w:tcPr/>
          <w:p>
            <w:pPr>
              <w:pStyle w:val="Compact"/>
            </w:pPr>
            <w:r>
              <w:t xml:space="preserve">-11.952</w:t>
            </w:r>
          </w:p>
        </w:tc>
        <w:tc>
          <w:tcPr/>
          <w:p>
            <w:pPr>
              <w:pStyle w:val="Compact"/>
            </w:pPr>
            <w:r>
              <w:t xml:space="preserve">-47.877</w:t>
            </w:r>
          </w:p>
        </w:tc>
        <w:tc>
          <w:tcPr/>
          <w:p>
            <w:pPr>
              <w:pStyle w:val="Compact"/>
            </w:pPr>
            <w:r>
              <w:t xml:space="preserve">23.973</w:t>
            </w:r>
          </w:p>
        </w:tc>
      </w:tr>
    </w:tbl>
    <w:p>
      <w:pPr>
        <w:pStyle w:val="FirstParagraph"/>
      </w:pPr>
      <w:r>
        <w:t xml:space="preserve">flips: patients whose category differs (up: exposed by pipeline only). R4/R5 at phase offset 0. mean_diff and limits of agreement in minutes below 65 mmHg.</w:t>
      </w:r>
    </w:p>
    <w:p>
      <w:pPr>
        <w:pStyle w:val="Heading2"/>
      </w:pPr>
      <w:bookmarkStart w:id="18" w:name="_0be5cdf65076df91e495cc0aeb2c5c6a457f33e"/>
      <w:r>
        <w:t xml:space="preserve">Table S3. POST HOC: probability that an episode is waveform-flagged, by elapsed time and nadir so far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still &lt; 65 mmHg after (s)</w:t>
            </w:r>
          </w:p>
        </w:tc>
        <w:tc>
          <w:tcPr/>
          <w:p>
            <w:pPr>
              <w:pStyle w:val="Compact"/>
            </w:pPr>
            <w:r>
              <w:t xml:space="preserve">nadir_so_far</w:t>
            </w:r>
          </w:p>
        </w:tc>
        <w:tc>
          <w:tcPr/>
          <w:p>
            <w:pPr>
              <w:pStyle w:val="Compact"/>
            </w:pPr>
            <w:r>
              <w:t xml:space="preserve">episodes</w:t>
            </w:r>
          </w:p>
        </w:tc>
        <w:tc>
          <w:tcPr/>
          <w:p>
            <w:pPr>
              <w:pStyle w:val="Compact"/>
            </w:pPr>
            <w:r>
              <w:t xml:space="preserve">p_flagged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1406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3301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33017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0.594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704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2057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15900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9413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1993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4911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</w:tbl>
    <w:p>
      <w:pPr>
        <w:pStyle w:val="FirstParagraph"/>
      </w:pPr>
      <w:r>
        <w:t xml:space="preserve">Among episodes that had lasted at least the stated time; nadir so far = lowest monitor MAP up to that time.</w:t>
      </w:r>
    </w:p>
    <w:p>
      <w:pPr>
        <w:pStyle w:val="Heading2"/>
      </w:pPr>
      <w:bookmarkStart w:id="19" w:name="_6e50e01aeb2b5a51420cfec74d1b96309d350b9"/>
      <w:r>
        <w:t xml:space="preserve">Table S4. POST HOC: depth-weighted exposures and lower thresholds (1-min median resolution)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or_ref</w:t>
            </w:r>
          </w:p>
        </w:tc>
        <w:tc>
          <w:tcPr/>
          <w:p>
            <w:pPr>
              <w:pStyle w:val="Compact"/>
            </w:pPr>
            <w:r>
              <w:t xml:space="preserve">or_pipe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p_perm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1.186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1.531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4.065</w:t>
            </w:r>
          </w:p>
        </w:tc>
        <w:tc>
          <w:tcPr/>
          <w:p>
            <w:pPr>
              <w:pStyle w:val="Compact"/>
            </w:pPr>
            <w:r>
              <w:t xml:space="preserve">1.044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2.715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4.767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2.744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1.169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0.788</w:t>
            </w:r>
          </w:p>
        </w:tc>
        <w:tc>
          <w:tcPr/>
          <w:p>
            <w:pPr>
              <w:pStyle w:val="Compact"/>
            </w:pPr>
            <w:r>
              <w:t xml:space="preserve">1.083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1.273</w:t>
            </w:r>
          </w:p>
        </w:tc>
        <w:tc>
          <w:tcPr/>
          <w:p>
            <w:pPr>
              <w:pStyle w:val="Compact"/>
            </w:pPr>
            <w:r>
              <w:t xml:space="preserve">1.005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1.048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2.413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1.853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3.339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1.726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3.812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0.653</w:t>
            </w:r>
          </w:p>
        </w:tc>
        <w:tc>
          <w:tcPr/>
          <w:p>
            <w:pPr>
              <w:pStyle w:val="Compact"/>
            </w:pPr>
            <w:r>
              <w:t xml:space="preserve">1.398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1.217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1.054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1.033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1.247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1.028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auc55_F0xR3_total_ratio</w:t>
            </w:r>
          </w:p>
        </w:tc>
        <w:tc>
          <w:tcPr/>
          <w:p>
            <w:pPr>
              <w:pStyle w:val="Compact"/>
            </w:pPr>
            <w:r>
              <w:t xml:space="preserve">1.5926511038398004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auc55_F0xR3_excess_share</w:t>
            </w:r>
          </w:p>
        </w:tc>
        <w:tc>
          <w:tcPr/>
          <w:p>
            <w:pPr>
              <w:pStyle w:val="Compact"/>
            </w:pPr>
            <w:r>
              <w:t xml:space="preserve">0.3721160914722307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0.5633518466768042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auc55_F1xR3_total_ratio</w:t>
            </w:r>
          </w:p>
        </w:tc>
        <w:tc>
          <w:tcPr/>
          <w:p>
            <w:pPr>
              <w:pStyle w:val="Compact"/>
            </w:pPr>
            <w:r>
              <w:t xml:space="preserve">1.1474727971391918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auc55_F1xR3_excess_share</w:t>
            </w:r>
          </w:p>
        </w:tc>
        <w:tc>
          <w:tcPr/>
          <w:p>
            <w:pPr>
              <w:pStyle w:val="Compact"/>
            </w:pPr>
            <w:r>
              <w:t xml:space="preserve">0.12851964552611783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0.5537390027342186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auc55_F3xR3_total_ratio</w:t>
            </w:r>
          </w:p>
        </w:tc>
        <w:tc>
          <w:tcPr/>
          <w:p>
            <w:pPr>
              <w:pStyle w:val="Compact"/>
            </w:pPr>
            <w:r>
              <w:t xml:space="preserve">0.9909324504685909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auc55_F3xR3_excess_share</w:t>
            </w:r>
          </w:p>
        </w:tc>
        <w:tc>
          <w:tcPr/>
          <w:p>
            <w:pPr>
              <w:pStyle w:val="Compact"/>
            </w:pPr>
            <w:r>
              <w:t xml:space="preserve">-0.009150522346019763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auc55_F3xR3_top1pct_share_of_excess</w:t>
            </w:r>
          </w:p>
        </w:tc>
        <w:tc>
          <w:tcPr/>
          <w:p>
            <w:pPr>
              <w:pStyle w:val="Compact"/>
            </w:pPr>
            <w:r>
              <w:t xml:space="preserve">-2.0514721232838955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auc65_F0xR3_total_ratio</w:t>
            </w:r>
          </w:p>
        </w:tc>
        <w:tc>
          <w:tcPr/>
          <w:p>
            <w:pPr>
              <w:pStyle w:val="Compact"/>
            </w:pPr>
            <w:r>
              <w:t xml:space="preserve">1.1250310833187709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auc65_F0xR3_excess_share</w:t>
            </w:r>
          </w:p>
        </w:tc>
        <w:tc>
          <w:tcPr/>
          <w:p>
            <w:pPr>
              <w:pStyle w:val="Compact"/>
            </w:pPr>
            <w:r>
              <w:t xml:space="preserve">0.11113567009183167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0.5190926964251571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auc65_F1xR3_total_ratio</w:t>
            </w:r>
          </w:p>
        </w:tc>
        <w:tc>
          <w:tcPr/>
          <w:p>
            <w:pPr>
              <w:pStyle w:val="Compact"/>
            </w:pPr>
            <w:r>
              <w:t xml:space="preserve">1.0485801543205124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auc65_F1xR3_excess_share</w:t>
            </w:r>
          </w:p>
        </w:tc>
        <w:tc>
          <w:tcPr/>
          <w:p>
            <w:pPr>
              <w:pStyle w:val="Compact"/>
            </w:pPr>
            <w:r>
              <w:t xml:space="preserve">0.04632946191127629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0.5245433707005375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auc65_F3xR3_total_ratio</w:t>
            </w:r>
          </w:p>
        </w:tc>
        <w:tc>
          <w:tcPr/>
          <w:p>
            <w:pPr>
              <w:pStyle w:val="Compact"/>
            </w:pPr>
            <w:r>
              <w:t xml:space="preserve">1.0101195139055774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auc65_F3xR3_excess_share</w:t>
            </w:r>
          </w:p>
        </w:tc>
        <w:tc>
          <w:tcPr/>
          <w:p>
            <w:pPr>
              <w:pStyle w:val="Compact"/>
            </w:pPr>
            <w:r>
              <w:t xml:space="preserve">0.01001813524664108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0.7610090577627407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binary55_F0xR3</w:t>
            </w:r>
          </w:p>
        </w:tc>
        <w:tc>
          <w:tcPr/>
          <w:p>
            <w:pPr>
              <w:pStyle w:val="Compact"/>
            </w:pPr>
            <w:r>
              <w:t xml:space="preserve">ROR 1.19 (0.66–2.15)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binary55_F1xR3</w:t>
            </w:r>
          </w:p>
        </w:tc>
        <w:tc>
          <w:tcPr/>
          <w:p>
            <w:pPr>
              <w:pStyle w:val="Compact"/>
            </w:pPr>
            <w:r>
              <w:t xml:space="preserve">ROR 1.28 (0.81–2.02)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binary55_F3xR3</w:t>
            </w:r>
          </w:p>
        </w:tc>
        <w:tc>
          <w:tcPr/>
          <w:p>
            <w:pPr>
              <w:pStyle w:val="Compact"/>
            </w:pPr>
            <w:r>
              <w:t xml:space="preserve">ROR 1.10 (0.84–1.45)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binary60_F0xR3</w:t>
            </w:r>
          </w:p>
        </w:tc>
        <w:tc>
          <w:tcPr/>
          <w:p>
            <w:pPr>
              <w:pStyle w:val="Compact"/>
            </w:pPr>
            <w:r>
              <w:t xml:space="preserve">ROR 0.95 (0.79–1.14)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binary60_F1xR3</w:t>
            </w:r>
          </w:p>
        </w:tc>
        <w:tc>
          <w:tcPr/>
          <w:p>
            <w:pPr>
              <w:pStyle w:val="Compact"/>
            </w:pPr>
            <w:r>
              <w:t xml:space="preserve">ROR 0.98 (0.85–1.15)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binary60_F3xR3</w:t>
            </w:r>
          </w:p>
        </w:tc>
        <w:tc>
          <w:tcPr/>
          <w:p>
            <w:pPr>
              <w:pStyle w:val="Compact"/>
            </w:pPr>
            <w:r>
              <w:t xml:space="preserve">ROR 0.98 (0.84–1.13)</w:t>
            </w:r>
          </w:p>
        </w:tc>
      </w:tr>
    </w:tbl>
    <w:p>
      <w:pPr>
        <w:pStyle w:val="FirstParagraph"/>
      </w:pPr>
      <w:r>
        <w:t xml:space="preserve">TWA per mmHg; AUC (area under the threshold) per 100 mmHg·min, capped at the reference 99th centile. excess_share: fraction of the pipeline total area in excess of the reference total; top1pct_share: share of that excess contributed by the 1% of patients with the largest excess. Intervals as in A15.</w:t>
      </w:r>
    </w:p>
    <w:p>
      <w:pPr>
        <w:pStyle w:val="Heading2"/>
      </w:pPr>
      <w:bookmarkStart w:id="20" w:name="_533bb9e0e3591bf9a34c3206dff45d4056781fc"/>
      <w:r>
        <w:t xml:space="preserve">Table S5. Sensitivity analyses of the primary ROR (F1 × R3)</w:t>
      </w:r>
      <w:bookmarkEnd w:id="2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or_pipe</w:t>
            </w:r>
          </w:p>
        </w:tc>
        <w:tc>
          <w:tcPr/>
          <w:p>
            <w:pPr>
              <w:pStyle w:val="Compact"/>
            </w:pPr>
            <w:r>
              <w:t xml:space="preserve">or_ref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reference=unbridged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reference=guard0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  <w:tc>
          <w:tcPr/>
          <w:p>
            <w:pPr>
              <w:pStyle w:val="Compact"/>
            </w:pPr>
            <w:r>
              <w:t xml:space="preserve">1.065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reference=guard30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reference=pp5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reference=pp12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reference=valid25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reference=valid75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reference=wavemean</w:t>
            </w:r>
          </w:p>
        </w:tc>
        <w:tc>
          <w:tcPr/>
          <w:p>
            <w:pPr>
              <w:pStyle w:val="Compac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 numerics-defined period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S5 + blood loss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0.904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S11 + number of postoperative creatinines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S7 AKI stage &gt;= 2 (reduced set)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2.143</w:t>
            </w:r>
          </w:p>
        </w:tc>
        <w:tc>
          <w:tcPr/>
          <w:p>
            <w:pPr>
              <w:pStyle w:val="Compact"/>
            </w:pPr>
            <w:r>
              <w:t xml:space="preserve">2.215</w:t>
            </w:r>
          </w:p>
        </w:tc>
        <w:tc>
          <w:tcPr/>
          <w:p>
            <w:pPr>
              <w:pStyle w:val="Compac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missing postoperative creatinine = no AKI (pre-specified)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1.071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transplantation included (pre-specified)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gynaecology (low creatinine testing)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1.073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 risk score, 2 df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1.077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reference=concord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reference=valid25_obs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reference=valid75_obs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</w:tbl>
    <w:p>
      <w:pPr>
        <w:pStyle w:val="FirstParagraph"/>
      </w:pPr>
      <w:r>
        <w:t xml:space="preserve">Rows from the frozen run first; S4, S6 (pre-specified, run after unblinding) and post hoc rows after. Rows without lo/hi are point estimates.</w:t>
      </w:r>
    </w:p>
    <w:p>
      <w:pPr>
        <w:pStyle w:val="Heading2"/>
      </w:pPr>
      <w:bookmarkStart w:id="21" w:name="_7a6cd9bf4b01ede1f522c8fc8a8067c1fa1c33b"/>
      <w:r>
        <w:t xml:space="preserve">Table S6. Differential misclassification: AKI on spurious minutes per hour, adjusted for reference exposure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nonzero</w:t>
            </w:r>
          </w:p>
        </w:tc>
        <w:tc>
          <w:tcPr/>
          <w:p>
            <w:pPr>
              <w:pStyle w:val="Compact"/>
            </w:pPr>
            <w:r>
              <w:t xml:space="preserve">or_per_sd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or_per_log1p</w:t>
            </w:r>
          </w:p>
        </w:tc>
        <w:tc>
          <w:tcPr/>
          <w:p>
            <w:pPr>
              <w:pStyle w:val="Compact"/>
            </w:pPr>
            <w:r>
              <w:t xml:space="preserve">lo_u</w:t>
            </w:r>
          </w:p>
        </w:tc>
        <w:tc>
          <w:tcPr/>
          <w:p>
            <w:pPr>
              <w:pStyle w:val="Compact"/>
            </w:pPr>
            <w:r>
              <w:t xml:space="preserve">hi_u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b_g1_zero_high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19.000</w:t>
            </w:r>
          </w:p>
        </w:tc>
        <w:tc>
          <w:tcPr/>
          <w:p>
            <w:pPr>
              <w:pStyle w:val="Compact"/>
            </w:pPr>
            <w:r>
              <w:t xml:space="preserve">1.022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1.259</w:t>
            </w:r>
          </w:p>
        </w:tc>
        <w:tc>
          <w:tcPr/>
          <w:p>
            <w:pPr>
              <w:pStyle w:val="Compact"/>
            </w:pPr>
            <w:r>
              <w:t xml:space="preserve">1.892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966.903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b_g2_nonpuls_noise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168.000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5.480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b_all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1.102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688.000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1.376</w:t>
            </w:r>
          </w:p>
        </w:tc>
        <w:tc>
          <w:tcPr/>
          <w:p>
            <w:pPr>
              <w:pStyle w:val="Compact"/>
            </w:pPr>
            <w:r>
              <w:t xml:space="preserve">2.039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6.027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2.740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2.49e+03</w:t>
            </w:r>
          </w:p>
        </w:tc>
        <w:tc>
          <w:tcPr/>
          <w:p>
            <w:pPr>
              <w:pStyle w:val="Compac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1.797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2.56e+03</w:t>
            </w:r>
          </w:p>
        </w:tc>
        <w:tc>
          <w:tcPr/>
          <w:p>
            <w:pPr>
              <w:pStyle w:val="Compact"/>
            </w:pPr>
            <w:r>
              <w:t xml:space="preserve">1.188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1.504</w:t>
            </w:r>
          </w:p>
        </w:tc>
        <w:tc>
          <w:tcPr/>
          <w:p>
            <w:pPr>
              <w:pStyle w:val="Compac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1.530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190.000</w:t>
            </w:r>
          </w:p>
        </w:tc>
        <w:tc>
          <w:tcPr/>
          <w:p>
            <w:pPr>
              <w:pStyle w:val="Compact"/>
            </w:pPr>
            <w:r>
              <w:t xml:space="preserve">1.025</w:t>
            </w:r>
          </w:p>
        </w:tc>
        <w:tc>
          <w:tcPr/>
          <w:p>
            <w:pPr>
              <w:pStyle w:val="Compact"/>
            </w:pPr>
            <w:r>
              <w:t xml:space="preserve">0.927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b_g1_zero_high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789.000</w:t>
            </w:r>
          </w:p>
        </w:tc>
        <w:tc>
          <w:tcPr/>
          <w:p>
            <w:pPr>
              <w:pStyle w:val="Compact"/>
            </w:pPr>
            <w:r>
              <w:t xml:space="preserve">1.105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17.314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1.85e+03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b_g2_nonpuls_noise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1.4e+03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1.110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2.710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b_all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2.636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1.94e+03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1.433</w:t>
            </w:r>
          </w:p>
        </w:tc>
        <w:tc>
          <w:tcPr/>
          <w:p>
            <w:pPr>
              <w:pStyle w:val="Compact"/>
            </w:pPr>
            <w:r>
              <w:t xml:space="preserve">2.095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  <w:tc>
          <w:tcPr/>
          <w:p>
            <w:pPr>
              <w:pStyle w:val="Compact"/>
            </w:pPr>
            <w:r>
              <w:t xml:space="preserve">5.383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2.722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2.49e+03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1.231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1.768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2.56e+03</w:t>
            </w:r>
          </w:p>
        </w:tc>
        <w:tc>
          <w:tcPr/>
          <w:p>
            <w:pPr>
              <w:pStyle w:val="Compact"/>
            </w:pPr>
            <w:r>
              <w:t xml:space="preserve">1.199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1.517</w:t>
            </w:r>
          </w:p>
        </w:tc>
        <w:tc>
          <w:tcPr/>
          <w:p>
            <w:pPr>
              <w:pStyle w:val="Compact"/>
            </w:pPr>
            <w:r>
              <w:t xml:space="preserve">1.208</w:t>
            </w:r>
          </w:p>
        </w:tc>
        <w:tc>
          <w:tcPr/>
          <w:p>
            <w:pPr>
              <w:pStyle w:val="Compact"/>
            </w:pPr>
            <w:r>
              <w:t xml:space="preserve">0.945</w:t>
            </w:r>
          </w:p>
        </w:tc>
        <w:tc>
          <w:tcPr/>
          <w:p>
            <w:pPr>
              <w:pStyle w:val="Compact"/>
            </w:pPr>
            <w:r>
              <w:t xml:space="preserve">1.544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190.000</w:t>
            </w:r>
          </w:p>
        </w:tc>
        <w:tc>
          <w:tcPr/>
          <w:p>
            <w:pPr>
              <w:pStyle w:val="Compact"/>
            </w:pPr>
            <w:r>
              <w:t xml:space="preserve">1.026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 (separate model)</w:t>
            </w:r>
          </w:p>
        </w:tc>
        <w:tc>
          <w:tcPr/>
          <w:p>
            <w:pPr>
              <w:pStyle w:val="Compact"/>
            </w:pPr>
            <w:r>
              <w:t xml:space="preserve">spurious_hypo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 (separate model)</w:t>
            </w:r>
          </w:p>
        </w:tc>
        <w:tc>
          <w:tcPr/>
          <w:p>
            <w:pPr>
              <w:pStyle w:val="Compact"/>
            </w:pPr>
            <w:r>
              <w:t xml:space="preserve">spurious_hyper_negative_control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1.164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1.424</w:t>
            </w:r>
          </w:p>
        </w:tc>
        <w:tc>
          <w:tcPr/>
          <w:p>
            <w:pPr>
              <w:pStyle w:val="Compact"/>
            </w:pPr>
            <w:r>
              <w:t xml:space="preserve">2.038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5.236</w:t>
            </w:r>
          </w:p>
        </w:tc>
      </w:tr>
    </w:tbl>
    <w:p>
      <w:pPr>
        <w:pStyle w:val="FirstParagraph"/>
      </w:pPr>
      <w:r>
        <w:t xml:space="preserve">term 0: log(1 + spurious min/h) (or group-specific version); c_negative_control term 1: spurious hypertensive min/h; d_mechanism terms 1–3: blood gases/h, log blood loss, red-cell units. lo/hi per SD; lo_u/hi_u per unit of log(1 + min/h).</w:t>
      </w:r>
    </w:p>
    <w:p>
      <w:pPr>
        <w:pStyle w:val="Heading2"/>
      </w:pPr>
      <w:bookmarkStart w:id="22" w:name="_1d4c05f71f11f6c7f73c74d5725a371d5d760c1"/>
      <w:r>
        <w:t xml:space="preserve">Table S7. Discordant patients, operating characteristics of the equivalence decision, and interval coverage</w:t>
      </w:r>
      <w:bookmarkEnd w:id="2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aki_up</w:t>
            </w:r>
          </w:p>
        </w:tc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aki_down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F3xR2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F6xR3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FirstParagraph"/>
      </w:pPr>
      <w:r>
        <w:t xml:space="preserve">F1 × R3: expected AKI among the 33 discordant patients 1.57; probability of none 0.19.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1.068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1.013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1.138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1.272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1.129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1.358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1.492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1.641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</w:tbl>
    <w:p>
      <w:pPr>
        <w:pStyle w:val="FirstParagraph"/>
      </w:pPr>
      <w:r>
        <w:t xml:space="preserve">ROR and A15 interval if k of the 28 upward-moved patients had developed AKI (outcomes swapped with k concordant cases; 400 bootstrap resamples, 200 permutations). Under the reference model, P(k = 0) = 0.26, P(k = 1) = 0.38, P(k ≥ 2) = 0.36.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gamma_up</w:t>
            </w:r>
          </w:p>
        </w:tc>
        <w:tc>
          <w:tcPr/>
          <w:p>
            <w:pPr>
              <w:pStyle w:val="Compact"/>
            </w:pPr>
            <w:r>
              <w:t xml:space="preserve">median_ror</w:t>
            </w:r>
          </w:p>
        </w:tc>
        <w:tc>
          <w:tcPr/>
          <w:p>
            <w:pPr>
              <w:pStyle w:val="Compact"/>
            </w:pPr>
            <w:r>
              <w:t xml:space="preserve">p_equivalent</w:t>
            </w:r>
          </w:p>
        </w:tc>
        <w:tc>
          <w:tcPr/>
          <w:p>
            <w:pPr>
              <w:pStyle w:val="Compact"/>
            </w:pPr>
            <w:r>
              <w:t xml:space="preserve">coverage_of_1</w:t>
            </w:r>
          </w:p>
        </w:tc>
        <w:tc>
          <w:tcPr/>
          <w:p>
            <w:pPr>
              <w:pStyle w:val="Compact"/>
            </w:pPr>
            <w:r>
              <w:t xml:space="preserve">sd_lror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upper_margin</w:t>
            </w:r>
          </w:p>
        </w:tc>
        <w:tc>
          <w:tcPr/>
          <w:p>
            <w:pPr>
              <w:pStyle w:val="Compact"/>
            </w:pPr>
            <w:r>
              <w:t xml:space="preserve">1.912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FirstParagraph"/>
      </w:pPr>
      <w:r>
        <w:t xml:space="preserve">Simulated outcomes from the fully adjusted reference model; differential error added as a log-odds shift γ in upward-moved patients. Each dataset analysed with the A15 rule (200 bootstrap resamples, 200 permutations). Median ROR by γ: up0.0: 0.99, up1.0: 1.08, up2.0: 1.27, up3.0: 1.52, up4.0: 1.89, down2.0: 0.95, down4.0: 0.86, down8.0: 0.78. Coverage of 1 under independent permutations (SD from the dry run, 100 calibration datasets): F1xR3 1.00, F0xR1 0.99, F3xR2 1.00, F6xR3 0.97.</w:t>
      </w:r>
    </w:p>
    <w:p>
      <w:pPr>
        <w:pStyle w:val="Heading2"/>
      </w:pPr>
      <w:bookmarkStart w:id="23" w:name="_621caa5a9e5c8514a8a9a8e5ca02f573f05854e"/>
      <w:r>
        <w:t xml:space="preserve">Table S8. Injection–recovery sweep (post hoc)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any_artefact</w:t>
            </w:r>
          </w:p>
        </w:tc>
        <w:tc>
          <w:tcPr/>
          <w:p>
            <w:pPr>
              <w:pStyle w:val="Compact"/>
            </w:pPr>
            <w:r>
              <w:t xml:space="preserve">frac_artefact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(250, 0.5)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(300, 0.5)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sampling_no_flush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sampling_no_flush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</w:tbl>
    <w:p>
      <w:pPr>
        <w:pStyle w:val="FirstParagraph"/>
      </w:pPr>
      <w:r>
        <w:t xml:space="preserve">any_artefact: share of injections with at least one window in the injected 20 s labelled artefact (zero/high/non-pulsatile/noise; guard excluded); 119 clean 2-min segments from 60 cases.</w:t>
      </w:r>
    </w:p>
    <w:p>
      <w:pPr>
        <w:pStyle w:val="Heading2"/>
      </w:pPr>
      <w:bookmarkStart w:id="24" w:name="_b2f26bafb4b9bc85362e597c2eff7ecacc9dd44"/>
      <w:r>
        <w:t xml:space="preserve">Table S9. Blinded AI rating of 152 snippets (secondary)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n_rated</w:t>
            </w:r>
          </w:p>
        </w:tc>
        <w:tc>
          <w:tcPr/>
          <w:p>
            <w:pPr>
              <w:pStyle w:val="Compact"/>
            </w:pPr>
            <w:r>
              <w:t xml:space="preserve">152.000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131.000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artefact_share_in_subset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alg_artefact_rated_artefact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alg_valid_rated_artefact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alg_valid_n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alg_valid_low_strata_n</w:t>
            </w:r>
          </w:p>
        </w:tc>
        <w:tc>
          <w:tcPr/>
          <w:p>
            <w:pPr>
              <w:pStyle w:val="Compact"/>
            </w:pPr>
            <w:r>
              <w:t xml:space="preserve">36.000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guard_n</w:t>
            </w:r>
          </w:p>
        </w:tc>
        <w:tc>
          <w:tcPr/>
          <w:p>
            <w:pPr>
              <w:pStyle w:val="Compact"/>
            </w:pPr>
            <w:r>
              <w:t xml:space="preserve">19.000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guard_rated_artefact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unsure</w:t>
            </w:r>
          </w:p>
        </w:tc>
        <w:tc>
          <w:tcPr/>
          <w:p>
            <w:pPr>
              <w:pStyle w:val="Compact"/>
            </w:pPr>
            <w:r>
              <w:t xml:space="preserve">2.000</w:t>
            </w:r>
          </w:p>
        </w:tc>
      </w:tr>
    </w:tbl>
    <w:p>
      <w:pPr>
        <w:pStyle w:val="Heading2"/>
      </w:pPr>
      <w:bookmarkStart w:id="25" w:name="_37a60a7a41d1c964e83c366bb7cf1341c6981ba"/>
      <w:r>
        <w:t xml:space="preserve">Table S10. In-hospital mortality (exploratory, reduced adjustment set)</w:t>
      </w:r>
      <w:bookmarkEnd w:id="25"/>
    </w:p>
    <w:p>
      <w:pPr>
        <w:pStyle w:val="FirstParagraph"/>
      </w:pPr>
      <w:r>
        <w:t xml:space="preserve">n = 2962, deaths = 26; OR reference 1.50 (0.69–3.27); OR F1 × R3 1.47 (0.68–3.20); ROR 0.98.</w:t>
      </w:r>
    </w:p>
    <w:p>
      <w:pPr>
        <w:pStyle w:val="Heading2"/>
      </w:pPr>
      <w:bookmarkStart w:id="26" w:name="_eb6cb8821ec3fd4ce8aae52ec31eecf4f3a535c"/>
      <w:r>
        <w:t xml:space="preserve">Table S11. Odds ratios for AKI by adjustment level (AKI set, 1-min median)</w:t>
      </w:r>
      <w:bookmarkEnd w:id="2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adjustment</w:t>
            </w:r>
          </w:p>
        </w:tc>
        <w:tc>
          <w:tcPr/>
          <w:p>
            <w:pPr>
              <w:pStyle w:val="Compact"/>
            </w:pPr>
            <w:r>
              <w:t xml:space="preserve">odds_ratio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1.655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2.513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1.463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2.248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0.596</w:t>
            </w:r>
          </w:p>
        </w:tc>
        <w:tc>
          <w:tcPr/>
          <w:p>
            <w:pPr>
              <w:pStyle w:val="Compact"/>
            </w:pPr>
            <w:r>
              <w:t xml:space="preserve">1.483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full_set_without_duration</w:t>
            </w:r>
          </w:p>
        </w:tc>
        <w:tc>
          <w:tcPr/>
          <w:p>
            <w:pPr>
              <w:pStyle w:val="Compact"/>
            </w:pPr>
            <w:r>
              <w:t xml:space="preserve">1.097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1.709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3.813</w:t>
            </w:r>
          </w:p>
        </w:tc>
        <w:tc>
          <w:tcPr/>
          <w:p>
            <w:pPr>
              <w:pStyle w:val="Compact"/>
            </w:pPr>
            <w:r>
              <w:t xml:space="preserve">1.865</w:t>
            </w:r>
          </w:p>
        </w:tc>
        <w:tc>
          <w:tcPr/>
          <w:p>
            <w:pPr>
              <w:pStyle w:val="Compact"/>
            </w:pPr>
            <w:r>
              <w:t xml:space="preserve">7.794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3.362</w:t>
            </w:r>
          </w:p>
        </w:tc>
        <w:tc>
          <w:tcPr/>
          <w:p>
            <w:pPr>
              <w:pStyle w:val="Compact"/>
            </w:pPr>
            <w:r>
              <w:t xml:space="preserve">1.575</w:t>
            </w:r>
          </w:p>
        </w:tc>
        <w:tc>
          <w:tcPr/>
          <w:p>
            <w:pPr>
              <w:pStyle w:val="Compact"/>
            </w:pPr>
            <w:r>
              <w:t xml:space="preserve">7.180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1.954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1.215</w:t>
            </w:r>
          </w:p>
        </w:tc>
        <w:tc>
          <w:tcPr/>
          <w:p>
            <w:pPr>
              <w:pStyle w:val="Compact"/>
            </w:pPr>
            <w:r>
              <w:t xml:space="preserve">1.136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1.112</w:t>
            </w:r>
          </w:p>
        </w:tc>
        <w:tc>
          <w:tcPr/>
          <w:p>
            <w:pPr>
              <w:pStyle w:val="Compact"/>
            </w:pPr>
            <w:r>
              <w:t xml:space="preserve">1.283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1.172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  <w:tc>
          <w:tcPr/>
          <w:p>
            <w:pPr>
              <w:pStyle w:val="Compact"/>
            </w:pPr>
            <w:r>
              <w:t xml:space="preserve">1.049</w:t>
            </w:r>
          </w:p>
        </w:tc>
        <w:tc>
          <w:tcPr/>
          <w:p>
            <w:pPr>
              <w:pStyle w:val="Compact"/>
            </w:pPr>
            <w:r>
              <w:t xml:space="preserve">2.419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1.414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2.170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1.417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4.673</w:t>
            </w:r>
          </w:p>
        </w:tc>
        <w:tc>
          <w:tcPr/>
          <w:p>
            <w:pPr>
              <w:pStyle w:val="Compact"/>
            </w:pPr>
            <w:r>
              <w:t xml:space="preserve">2.465</w:t>
            </w:r>
          </w:p>
        </w:tc>
        <w:tc>
          <w:tcPr/>
          <w:p>
            <w:pPr>
              <w:pStyle w:val="Compact"/>
            </w:pPr>
            <w:r>
              <w:t xml:space="preserve">8.857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4.106</w:t>
            </w:r>
          </w:p>
        </w:tc>
        <w:tc>
          <w:tcPr/>
          <w:p>
            <w:pPr>
              <w:pStyle w:val="Compact"/>
            </w:pPr>
            <w:r>
              <w:t xml:space="preserve">2.068</w:t>
            </w:r>
          </w:p>
        </w:tc>
        <w:tc>
          <w:tcPr/>
          <w:p>
            <w:pPr>
              <w:pStyle w:val="Compact"/>
            </w:pPr>
            <w:r>
              <w:t xml:space="preserve">8.151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2.494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5.080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1.221</w:t>
            </w:r>
          </w:p>
        </w:tc>
        <w:tc>
          <w:tcPr/>
          <w:p>
            <w:pPr>
              <w:pStyle w:val="Compact"/>
            </w:pPr>
            <w:r>
              <w:t xml:space="preserve">1.142</w:t>
            </w:r>
          </w:p>
        </w:tc>
        <w:tc>
          <w:tcPr/>
          <w:p>
            <w:pPr>
              <w:pStyle w:val="Compact"/>
            </w:pPr>
            <w:r>
              <w:t xml:space="preserve">1.305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1.200</w:t>
            </w:r>
          </w:p>
        </w:tc>
        <w:tc>
          <w:tcPr/>
          <w:p>
            <w:pPr>
              <w:pStyle w:val="Compact"/>
            </w:pPr>
            <w:r>
              <w:t xml:space="preserve">1.119</w:t>
            </w:r>
          </w:p>
        </w:tc>
        <w:tc>
          <w:tcPr/>
          <w:p>
            <w:pPr>
              <w:pStyle w:val="Compact"/>
            </w:pPr>
            <w:r>
              <w:t xml:space="preserve">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</w:tr>
    </w:tbl>
    <w:p>
      <w:pPr>
        <w:pStyle w:val="FirstParagraph"/>
      </w:pPr>
      <w:r>
        <w:t xml:space="preserve">reduced_set: age and eGFR splines, ASA ≥ 3, emergency. Wald intervals from Firth fits. AKI-set inclusion by department: General surgery 85% of 1749, Gynecology 28% of 172, Thoracic surgery 96% of 996, Urology 97% of 59.</w:t>
      </w:r>
    </w:p>
    <w:p>
      <w:pPr>
        <w:pStyle w:val="Heading1"/>
      </w:pPr>
      <w:bookmarkStart w:id="27" w:name="_ca9fac632c05bff85a148bcf1a8b48d055e1348"/>
      <w:r>
        <w:t xml:space="preserve">Supplementary figures</w:t>
      </w:r>
      <w:bookmarkEnd w:id="27"/>
    </w:p>
    <w:p>
      <w:pPr>
        <w:pStyle w:val="CaptionedFigure"/>
      </w:pPr>
      <w:r>
        <w:drawing>
          <wp:inline>
            <wp:extent cx="4800600" cy="5262670"/>
            <wp:effectExtent b="0" l="0" r="0" t="0"/>
            <wp:docPr descr="Figure S1. Flow of patients." title="" id="29" name="Picture"/>
            <a:graphic>
              <a:graphicData uri="http://schemas.openxmlformats.org/drawingml/2006/picture">
                <pic:pic>
                  <pic:nvPicPr>
                    <pic:cNvPr descr="figures/figS1_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262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S1. Flow of patients.</w:t>
      </w:r>
    </w:p>
    <w:p>
      <w:pPr>
        <w:pStyle w:val="CaptionedFigure"/>
      </w:pPr>
      <w:r>
        <w:drawing>
          <wp:inline>
            <wp:extent cx="4800600" cy="3972652"/>
            <wp:effectExtent b="0" l="0" r="0" t="0"/>
            <wp:docPr descr="Figure S2. Specification curve of 420 pipeline specifications." title="" id="32" name="Picture"/>
            <a:graphic>
              <a:graphicData uri="http://schemas.openxmlformats.org/drawingml/2006/picture">
                <pic:pic>
                  <pic:nvPicPr>
                    <pic:cNvPr descr="figures/fig3_spec_curv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972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S2. Specification curve of 420 pipeline specifications.</w:t>
      </w:r>
    </w:p>
    <w:p>
      <w:pPr>
        <w:pStyle w:val="CaptionedFigure"/>
      </w:pPr>
      <w:r>
        <w:drawing>
          <wp:inline>
            <wp:extent cx="4800600" cy="2388856"/>
            <wp:effectExtent b="0" l="0" r="0" t="0"/>
            <wp:docPr descr="Figure S3. Probability that a recorded episode is waveform-flagged, by final duration and nadir." title="" id="35" name="Picture"/>
            <a:graphic>
              <a:graphicData uri="http://schemas.openxmlformats.org/drawingml/2006/picture">
                <pic:pic>
                  <pic:nvPicPr>
                    <pic:cNvPr descr="figures/fig4_episode_probabilit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88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S3. Probability that a recorded episode is waveform-flagged, by final duration and nadir.</w:t>
      </w:r>
    </w:p>
    <w:p>
      <w:pPr>
        <w:pStyle w:val="CaptionedFigure"/>
      </w:pPr>
      <w:r>
        <w:drawing>
          <wp:inline>
            <wp:extent cx="4800600" cy="2157622"/>
            <wp:effectExtent b="0" l="0" r="0" t="0"/>
            <wp:docPr descr="Figure S4. Ratio of odds ratios by filter, exposure metric and threshold (post hoc display)." title="" id="38" name="Picture"/>
            <a:graphic>
              <a:graphicData uri="http://schemas.openxmlformats.org/drawingml/2006/picture">
                <pic:pic>
                  <pic:nvPicPr>
                    <pic:cNvPr descr="figures/fig3_depth_heatma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57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S4. Ratio of odds ratios by filter, exposure metric and threshold (post hoc display).</w:t>
      </w:r>
    </w:p>
    <w:p>
      <w:pPr>
        <w:pStyle w:val="Heading1"/>
      </w:pPr>
      <w:bookmarkStart w:id="40" w:name="_29bf61179f1eddfc529bd07bc0be98be40dec42"/>
      <w:r>
        <w:t xml:space="preserve">Supplementary Protocol</w:t>
      </w:r>
      <w:bookmarkEnd w:id="40"/>
    </w:p>
    <w:p>
      <w:pPr>
        <w:pStyle w:val="Heading2"/>
      </w:pPr>
      <w:bookmarkStart w:id="41" w:name="_5510b48caca687dea325862b0ecfa57319c5c3d"/>
      <w:r>
        <w:t xml:space="preserve">Analysis protocol (frozen before any outcome analysis)</w:t>
      </w:r>
      <w:bookmarkEnd w:id="41"/>
    </w:p>
    <w:p>
      <w:pPr>
        <w:pStyle w:val="FirstParagraph"/>
      </w:pPr>
      <w:r>
        <w:rPr>
          <w:b/>
          <w:bCs/>
        </w:rPr>
        <w:t xml:space="preserve">Working title.</w:t>
      </w:r>
      <w:r>
        <w:t xml:space="preserve"> </w:t>
      </w:r>
      <w:r>
        <w:t xml:space="preserve">How much of recorded intraoperative hypotension is artefact, and how much does</w:t>
      </w:r>
      <w:r>
        <w:t xml:space="preserve"> </w:t>
      </w:r>
      <w:r>
        <w:t xml:space="preserve">it matter? A waveform-referenced multiverse analysis of arterial-line artefacts, data resolution</w:t>
      </w:r>
      <w:r>
        <w:t xml:space="preserve"> </w:t>
      </w:r>
      <w:r>
        <w:t xml:space="preserve">and the hypotension–acute kidney injury association in VitalDB.</w:t>
      </w:r>
    </w:p>
    <w:p>
      <w:pPr>
        <w:pStyle w:val="BodyText"/>
      </w:pPr>
      <w:r>
        <w:rPr>
          <w:b/>
          <w:bCs/>
        </w:rPr>
        <w:t xml:space="preserve">Status at freezing.</w:t>
      </w:r>
      <w:r>
        <w:t xml:space="preserve"> </w:t>
      </w:r>
      <w:r>
        <w:t xml:space="preserve">Window features extracted from the 500 Hz arterial waveform; artefact</w:t>
      </w:r>
      <w:r>
        <w:t xml:space="preserve"> </w:t>
      </w:r>
      <w:r>
        <w:t xml:space="preserve">classifier inspected visually on 20 snippets and descriptive artefact burden computed on ≤ 600</w:t>
      </w:r>
      <w:r>
        <w:t xml:space="preserve"> </w:t>
      </w:r>
      <w:r>
        <w:t xml:space="preserve">cases.</w:t>
      </w:r>
      <w:r>
        <w:t xml:space="preserve"> </w:t>
      </w:r>
      <w:r>
        <w:rPr>
          <w:b/>
          <w:bCs/>
        </w:rPr>
        <w:t xml:space="preserve">No association between any exposure and any outcome has been computed.</w:t>
      </w:r>
      <w:r>
        <w:t xml:space="preserve"> </w:t>
      </w:r>
      <w:r>
        <w:t xml:space="preserve">The freeze</w:t>
      </w:r>
      <w:r>
        <w:t xml:space="preserve"> </w:t>
      </w:r>
      <w:r>
        <w:t xml:space="preserve">is the git commit containing this file; any later change is recorded in the</w:t>
      </w:r>
      <w:r>
        <w:t xml:space="preserve"> </w:t>
      </w:r>
      <w:r>
        <w:t xml:space="preserve">“Amendments”</w:t>
      </w:r>
      <w:r>
        <w:t xml:space="preserve"> </w:t>
      </w:r>
      <w:r>
        <w:t xml:space="preserve">section with date and reason.</w:t>
      </w:r>
    </w:p>
    <w:p>
      <w:pPr>
        <w:pStyle w:val="BodyText"/>
      </w:pPr>
      <w:r>
        <w:t xml:space="preserve">Reporting: STROBE and RECORD. Design: retrospective cohort, secondary analysis of a</w:t>
      </w:r>
      <w:r>
        <w:t xml:space="preserve"> </w:t>
      </w:r>
      <w:r>
        <w:t xml:space="preserve">de-identified open dataset.</w:t>
      </w:r>
    </w:p>
    <w:p>
      <w:pPr>
        <w:pStyle w:val="Heading3"/>
      </w:pPr>
      <w:bookmarkStart w:id="42" w:name="_objectives"/>
      <w:r>
        <w:t xml:space="preserve">1. Objectives</w:t>
      </w:r>
      <w:bookmarkEnd w:id="4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Artefact burden of the intraoperative arterial line, by artefact type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Fraction of</w:t>
            </w:r>
            <w:r>
              <w:t xml:space="preserve"> </w:t>
            </w:r>
            <w:r>
              <w:rPr>
                <w:i/>
                <w:iCs/>
              </w:rPr>
              <w:t xml:space="preserve">recorded</w:t>
            </w:r>
            <w:r>
              <w:t xml:space="preserve"> </w:t>
            </w:r>
            <w:r>
              <w:t xml:space="preserve">hypotensive minutes that are artefact, for each processing pipeline</w:t>
            </w:r>
          </w:p>
        </w:tc>
        <w:tc>
          <w:tcPr/>
          <w:p>
            <w:pPr>
              <w:pStyle w:val="Compact"/>
            </w:pPr>
            <w:r>
              <w:t xml:space="preserve">descriptive (primary measurement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Per-patient misclassification of hypotension exposure versus the reference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How the adjusted association between hypotension and AKI changes across pipelines (multiverse / specification curve)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inferential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t xml:space="preserve">Differential misclassification: is artefact-attributable</w:t>
            </w:r>
            <w:r>
              <w:t xml:space="preserve"> </w:t>
            </w:r>
            <w:r>
              <w:t xml:space="preserve">“hypotension”</w:t>
            </w:r>
            <w:r>
              <w:t xml:space="preserve"> </w:t>
            </w:r>
            <w:r>
              <w:t xml:space="preserve">associated with blood-gas sampling, severity and AKI?</w:t>
            </w:r>
          </w:p>
        </w:tc>
        <w:tc>
          <w:tcPr/>
          <w:p>
            <w:pPr>
              <w:pStyle w:val="Compact"/>
            </w:pPr>
            <w:r>
              <w:t xml:space="preserve">secondary, hypothesis-driven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t xml:space="preserve">Probability that a low monitor MAP episode is artefact, by duration and nadir; a simple bedside rule, derived and validated on separate patients</w:t>
            </w:r>
          </w:p>
        </w:tc>
        <w:tc>
          <w:tcPr/>
          <w:p>
            <w:pPr>
              <w:pStyle w:val="Compact"/>
            </w:pPr>
            <w:r>
              <w:t xml:space="preserve">secondary, clinical</w:t>
            </w:r>
          </w:p>
        </w:tc>
      </w:tr>
    </w:tbl>
    <w:p>
      <w:pPr>
        <w:pStyle w:val="Heading3"/>
      </w:pPr>
      <w:bookmarkStart w:id="43" w:name="_1e8acc8b467a646cdf183221063166fb857011d"/>
      <w:r>
        <w:t xml:space="preserve">2. Data and cohort</w:t>
      </w:r>
      <w:bookmarkEnd w:id="43"/>
    </w:p>
    <w:p>
      <w:pPr>
        <w:pStyle w:val="FirstParagraph"/>
      </w:pPr>
      <w:r>
        <w:t xml:space="preserve">VitalDB (Seoul National University Hospital, 2016–2017; Lee HC et al., Sci Data 2022). Open,</w:t>
      </w:r>
      <w:r>
        <w:t xml:space="preserve"> </w:t>
      </w:r>
      <w:r>
        <w:t xml:space="preserve">de-identified; original collection approved by the SNUH IRB. No new ethics approval needed</w:t>
      </w:r>
      <w:r>
        <w:t xml:space="preserve"> </w:t>
      </w:r>
      <w:r>
        <w:t xml:space="preserve">(to be confirmed against the VitalDB data-use terms and stated in the paper).</w:t>
      </w:r>
    </w:p>
    <w:p>
      <w:pPr>
        <w:pStyle w:val="BodyText"/>
      </w:pPr>
      <w:r>
        <w:t xml:space="preserve">Inclusion:</w:t>
      </w:r>
      <w:r>
        <w:t xml:space="preserve"> </w:t>
      </w:r>
      <w:r>
        <w:rPr>
          <w:rStyle w:val="VerbatimChar"/>
        </w:rPr>
        <w:t xml:space="preserve">SNUADC/ART</w:t>
      </w:r>
      <w:r>
        <w:t xml:space="preserve"> </w:t>
      </w:r>
      <w:r>
        <w:t xml:space="preserve">waveform present; age ≥ 18; general anaesthesia; ≥ 30 min of</w:t>
      </w:r>
      <w:r>
        <w:t xml:space="preserve"> </w:t>
      </w:r>
      <w:r>
        <w:t xml:space="preserve">monitoring period (definition §3).</w:t>
      </w:r>
      <w:r>
        <w:t xml:space="preserve"> </w:t>
      </w:r>
      <w:r>
        <w:t xml:space="preserve">Exclusions for the AKI analysis: missing baseline creatinine; baseline eGFR &lt; 15 (proxy for</w:t>
      </w:r>
      <w:r>
        <w:t xml:space="preserve"> </w:t>
      </w:r>
      <w:r>
        <w:t xml:space="preserve">end-stage renal disease); no creatinine within 7 days after the end of anaesthesia;</w:t>
      </w:r>
      <w:r>
        <w:t xml:space="preserve"> </w:t>
      </w:r>
      <w:r>
        <w:t xml:space="preserve">transplantation procedures (</w:t>
      </w:r>
      <w:r>
        <w:rPr>
          <w:rStyle w:val="VerbatimChar"/>
        </w:rPr>
        <w:t xml:space="preserve">optype == 'Transplantation'</w:t>
      </w:r>
      <w:r>
        <w:t xml:space="preserve">; included in sensitivity S6).</w:t>
      </w:r>
    </w:p>
    <w:p>
      <w:pPr>
        <w:pStyle w:val="Heading3"/>
      </w:pPr>
      <w:bookmarkStart w:id="44" w:name="_f79462b4711c1a8e88a1d06b56a4dbe2ad4cb20"/>
      <w:r>
        <w:t xml:space="preserve">3. Reference series (waveform-informed)</w:t>
      </w:r>
      <w:bookmarkEnd w:id="44"/>
    </w:p>
    <w:p>
      <w:pPr>
        <w:pStyle w:val="Compact"/>
        <w:numPr>
          <w:ilvl w:val="0"/>
          <w:numId w:val="1001"/>
        </w:numPr>
      </w:pPr>
      <w:r>
        <w:t xml:space="preserve">2-s windows of the 500 Hz waveform are labelled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nonpulsatile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noise</w:t>
      </w:r>
      <w:r>
        <w:t xml:space="preserve"> </w:t>
      </w:r>
      <w:r>
        <w:t xml:space="preserve">(rules in</w:t>
      </w:r>
      <w:r>
        <w:t xml:space="preserve"> </w:t>
      </w:r>
      <w:r>
        <w:rPr>
          <w:rStyle w:val="VerbatimChar"/>
        </w:rPr>
        <w:t xml:space="preserve">src/artifact.py</w:t>
      </w:r>
      <w:r>
        <w:t xml:space="preserve">, frozen at this commit), plus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:</w:t>
      </w:r>
      <w:r>
        <w:t xml:space="preserve"> </w:t>
      </w:r>
      <w:r>
        <w:t xml:space="preserve">windows within 10 s of any non-valid window.</w:t>
      </w:r>
    </w:p>
    <w:p>
      <w:pPr>
        <w:pStyle w:val="Compact"/>
        <w:numPr>
          <w:ilvl w:val="0"/>
          <w:numId w:val="1001"/>
        </w:numPr>
      </w:pPr>
      <w:r>
        <w:t xml:space="preserve">The monitor’s 2-s ART_MBP numerics are aligned to the waveform by a per-case lag (1–4</w:t>
      </w:r>
      <w:r>
        <w:t xml:space="preserve"> </w:t>
      </w:r>
      <w:r>
        <w:t xml:space="preserve">samples, maximum correlation on valid windows).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 minute MAP</w:t>
      </w:r>
      <w:r>
        <w:t xml:space="preserve"> </w:t>
      </w:r>
      <w:r>
        <w:t xml:space="preserve">= median of the aligned monitor MAP values in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windows of the</w:t>
      </w:r>
      <w:r>
        <w:t xml:space="preserve"> </w:t>
      </w:r>
      <w:r>
        <w:t xml:space="preserve">minute, if ≥ 50% of the minute’s windows are valid; otherwise missing.</w:t>
      </w:r>
    </w:p>
    <w:p>
      <w:pPr>
        <w:pStyle w:val="Compact"/>
        <w:numPr>
          <w:ilvl w:val="0"/>
          <w:numId w:val="1001"/>
        </w:numPr>
      </w:pPr>
      <w:r>
        <w:t xml:space="preserve">Rationale: the reference differs from the monitor stream only by removal of</w:t>
      </w:r>
      <w:r>
        <w:t xml:space="preserve"> </w:t>
      </w:r>
      <w:r>
        <w:t xml:space="preserve">waveform-detected artefact, so calibration differences between the monitor and the ADC do</w:t>
      </w:r>
      <w:r>
        <w:t xml:space="preserve"> </w:t>
      </w:r>
      <w:r>
        <w:t xml:space="preserve">not enter the comparison.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 period</w:t>
      </w:r>
      <w:r>
        <w:t xml:space="preserve"> </w:t>
      </w:r>
      <w:r>
        <w:t xml:space="preserve">= from the first to the last run of ≥ 60 s of valid windows within</w:t>
      </w:r>
      <w:r>
        <w:t xml:space="preserve"> </w:t>
      </w:r>
      <w:r>
        <w:t xml:space="preserve">anaesthesia (anestart–aneend). All pipelines use the same period.</w:t>
      </w:r>
    </w:p>
    <w:p>
      <w:pPr>
        <w:pStyle w:val="Heading3"/>
      </w:pPr>
      <w:bookmarkStart w:id="45" w:name="_b0c1487f73ce0cc2ab95f09f3e8ff7a8fc4377c"/>
      <w:r>
        <w:t xml:space="preserve">4. Pipelines (the multiverse)</w:t>
      </w:r>
      <w:bookmarkEnd w:id="45"/>
    </w:p>
    <w:p>
      <w:pPr>
        <w:pStyle w:val="FirstParagraph"/>
      </w:pPr>
      <w:r>
        <w:t xml:space="preserve">Pipelines use</w:t>
      </w:r>
      <w:r>
        <w:t xml:space="preserve"> </w:t>
      </w:r>
      <w:r>
        <w:rPr>
          <w:b/>
          <w:bCs/>
        </w:rPr>
        <w:t xml:space="preserve">only the monitor numerics</w:t>
      </w:r>
      <w:r>
        <w:t xml:space="preserve"> </w:t>
      </w:r>
      <w:r>
        <w:t xml:space="preserve">(MAP, SBP, DBP), as a retrospective study would.</w:t>
      </w:r>
    </w:p>
    <w:p>
      <w:pPr>
        <w:pStyle w:val="BodyText"/>
      </w:pPr>
      <w:r>
        <w:rPr>
          <w:b/>
          <w:bCs/>
        </w:rPr>
        <w:t xml:space="preserve">Filter</w:t>
      </w:r>
      <w:r>
        <w:t xml:space="preserve"> </w:t>
      </w:r>
      <w:r>
        <w:t xml:space="preserve">(applied to 2-s numerics; F5 and F6 after sampling, see A8):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drop MAP &lt; 20 or &gt; 250</w:t>
            </w:r>
          </w:p>
        </w:tc>
        <w:tc>
          <w:tcPr/>
          <w:p>
            <w:pPr>
              <w:pStyle w:val="Compact"/>
            </w:pPr>
            <w:r>
              <w:t xml:space="preserve">Lee 2026 (VitalDB AKI)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drop MAP &lt; 30 or &gt; 200</w:t>
            </w:r>
          </w:p>
        </w:tc>
        <w:tc>
          <w:tcPr/>
          <w:p>
            <w:pPr>
              <w:pStyle w:val="Compact"/>
            </w:pPr>
            <w:r>
              <w:t xml:space="preserve">Khan 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drop SBP &gt; 250, DBP &lt; 15, MAP &lt; 35 or &gt; 150, SBP−DBP &lt; 15</w:t>
            </w:r>
          </w:p>
        </w:tc>
        <w:tc>
          <w:tcPr/>
          <w:p>
            <w:pPr>
              <w:pStyle w:val="Compact"/>
            </w:pPr>
            <w:r>
              <w:t xml:space="preserve">Jacobsson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drop MAP &lt; 20 or &gt; 200, SBP &gt; 300 or &lt; 20, SBP ≤ DBP, SBP−DBP &lt; 5, DBP &lt; 5</w:t>
            </w:r>
          </w:p>
        </w:tc>
        <w:tc>
          <w:tcPr/>
          <w:p>
            <w:pPr>
              <w:pStyle w:val="Compact"/>
            </w:pPr>
            <w:r>
              <w:t xml:space="preserve">physiological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F4 + drop values differing from both neighbours by &gt; 30 mmHg</w:t>
            </w:r>
          </w:p>
        </w:tc>
        <w:tc>
          <w:tcPr/>
          <w:p>
            <w:pPr>
              <w:pStyle w:val="Compact"/>
            </w:pPr>
            <w:r>
              <w:t xml:space="preserve">neighbour comparison (Du 2019 style)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F4 + 7-point running median on the minute grid</w:t>
            </w:r>
          </w:p>
        </w:tc>
        <w:tc>
          <w:tcPr/>
          <w:p>
            <w:pPr>
              <w:pStyle w:val="Compact"/>
            </w:pPr>
            <w:r>
              <w:t xml:space="preserve">median filter (Pasma 2020)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Resolution:</w:t>
      </w:r>
      <w:r>
        <w:t xml:space="preserve"> </w:t>
      </w:r>
      <w:r>
        <w:t xml:space="preserve">R1 2-s (all values; minutes = count × 2 s / 60); R2 1-min instantaneous</w:t>
      </w:r>
      <w:r>
        <w:t xml:space="preserve"> </w:t>
      </w:r>
      <w:r>
        <w:t xml:space="preserve">(value at the minute mark); R3 1-min median; R4 5-min instantaneous, held; R5 15-min</w:t>
      </w:r>
      <w:r>
        <w:t xml:space="preserve"> </w:t>
      </w:r>
      <w:r>
        <w:t xml:space="preserve">instantaneous, held.</w:t>
      </w:r>
    </w:p>
    <w:p>
      <w:pPr>
        <w:pStyle w:val="BodyText"/>
      </w:pPr>
      <w:r>
        <w:rPr>
          <w:b/>
          <w:bCs/>
        </w:rPr>
        <w:t xml:space="preserve">Metric:</w:t>
      </w:r>
      <w:r>
        <w:t xml:space="preserve"> </w:t>
      </w:r>
      <w:r>
        <w:t xml:space="preserve">cumulative minutes &lt; T; area under T (mmHg·min); time-weighted average below T</w:t>
      </w:r>
      <w:r>
        <w:t xml:space="preserve"> </w:t>
      </w:r>
      <w:r>
        <w:t xml:space="preserve">(AUC / monitored minutes); binary</w:t>
      </w:r>
      <w:r>
        <w:t xml:space="preserve"> </w:t>
      </w:r>
      <w:r>
        <w:t xml:space="preserve">“≥ 10 cumulative minutes &lt; T”</w:t>
      </w:r>
      <w:r>
        <w:t xml:space="preserve">.</w:t>
      </w:r>
      <w:r>
        <w:t xml:space="preserve"> </w:t>
      </w:r>
      <w:r>
        <w:rPr>
          <w:b/>
          <w:bCs/>
        </w:rPr>
        <w:t xml:space="preserve">Threshold:</w:t>
      </w:r>
      <w:r>
        <w:t xml:space="preserve"> </w:t>
      </w:r>
      <w:r>
        <w:t xml:space="preserve">T in {55, 60, 65} mmHg.</w:t>
      </w:r>
    </w:p>
    <w:p>
      <w:pPr>
        <w:pStyle w:val="BodyText"/>
      </w:pPr>
      <w:r>
        <w:t xml:space="preserve">7 × 5 × 4 × 3 =</w:t>
      </w:r>
      <w:r>
        <w:t xml:space="preserve"> </w:t>
      </w:r>
      <w:r>
        <w:rPr>
          <w:b/>
          <w:bCs/>
        </w:rPr>
        <w:t xml:space="preserve">420 pipeline specifications</w:t>
      </w:r>
      <w:r>
        <w:t xml:space="preserve">, each compared with the reference computed</w:t>
      </w:r>
      <w:r>
        <w:t xml:space="preserve"> </w:t>
      </w:r>
      <w:r>
        <w:t xml:space="preserve">with the same metric and threshold (12 reference specifications).</w:t>
      </w:r>
    </w:p>
    <w:p>
      <w:pPr>
        <w:pStyle w:val="Heading3"/>
      </w:pPr>
      <w:bookmarkStart w:id="46" w:name="_d0e31ed76e4f7466e48243f58758980adbae8f6"/>
      <w:r>
        <w:t xml:space="preserve">5. Outcomes and covariates</w:t>
      </w:r>
      <w:bookmarkEnd w:id="46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AKI by KDIGO creatinine criteria within 7 days (≥ 0.3 mg/dL within 48 h, or</w:t>
      </w:r>
      <w:r>
        <w:t xml:space="preserve"> </w:t>
      </w:r>
      <w:r>
        <w:t xml:space="preserve">≥ 1.5× baseline within 7 days). Baseline = last creatinine within 30 days before induction,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preop_cr</w:t>
      </w:r>
      <w:r>
        <w:t xml:space="preserve">. Urine output not available postoperatively.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AKI stage ≥ 2; in-hospital death.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Adjustment set (fixed):</w:t>
      </w:r>
      <w:r>
        <w:t xml:space="preserve"> </w:t>
      </w:r>
      <w:r>
        <w:t xml:space="preserve">age, sex, BMI, ASA ≥ 3, emergency, baseline eGFR (CKD-EPI</w:t>
      </w:r>
      <w:r>
        <w:t xml:space="preserve"> </w:t>
      </w:r>
      <w:r>
        <w:t xml:space="preserve">2021), hypertension, diabetes, preoperative haemoglobin, preoperative albumin, department,</w:t>
      </w:r>
      <w:r>
        <w:t xml:space="preserve"> </w:t>
      </w:r>
      <w:r>
        <w:t xml:space="preserve">surgical approach, log anaesthesia duration. Missing covariates: median (continuous) or</w:t>
      </w:r>
      <w:r>
        <w:t xml:space="preserve"> </w:t>
      </w:r>
      <w:r>
        <w:t xml:space="preserve">mode (categorical) imputation with a missingness indicator if &gt; 5% missing.</w:t>
      </w:r>
      <w:r>
        <w:t xml:space="preserve"> </w:t>
      </w:r>
      <w:r>
        <w:t xml:space="preserve">Intraoperative vasopressors, fluids and blood loss are not adjusted for (potential</w:t>
      </w:r>
      <w:r>
        <w:t xml:space="preserve"> </w:t>
      </w:r>
      <w:r>
        <w:t xml:space="preserve">mediators); sensitivity S5 adds blood loss.</w:t>
      </w:r>
    </w:p>
    <w:p>
      <w:pPr>
        <w:pStyle w:val="Heading3"/>
      </w:pPr>
      <w:bookmarkStart w:id="47" w:name="_d5249b3a2e3f62adee575876c26009231d87b92"/>
      <w:r>
        <w:t xml:space="preserve">6. Statistical analysis</w:t>
      </w:r>
      <w:bookmarkEnd w:id="47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O2.</w:t>
      </w:r>
      <w:r>
        <w:t xml:space="preserve"> </w:t>
      </w:r>
      <w:r>
        <w:t xml:space="preserve">Among pipeline-recorded minutes with MAP &lt; 65: proportion where the reference minute</w:t>
      </w:r>
      <w:r>
        <w:t xml:space="preserve"> </w:t>
      </w:r>
      <w:r>
        <w:t xml:space="preserve">is missing because of artefact, or ≥ 65. Reported per pipeline with patient-cluster</w:t>
      </w:r>
      <w:r>
        <w:t xml:space="preserve"> </w:t>
      </w:r>
      <w:r>
        <w:t xml:space="preserve">bootstrap 95% CI (1,000 resamples).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O3.</w:t>
      </w:r>
      <w:r>
        <w:t xml:space="preserve"> </w:t>
      </w:r>
      <w:r>
        <w:t xml:space="preserve">For the binary exposure, sensitivity, specificity and Cohen’s kappa against the</w:t>
      </w:r>
      <w:r>
        <w:t xml:space="preserve"> </w:t>
      </w:r>
      <w:r>
        <w:t xml:space="preserve">reference. For minutes &lt; 65, the median per-patient difference and Bland–Altman limits.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O4.</w:t>
      </w:r>
    </w:p>
    <w:p>
      <w:pPr>
        <w:pStyle w:val="Compact"/>
        <w:numPr>
          <w:ilvl w:val="1"/>
          <w:numId w:val="1004"/>
        </w:numPr>
      </w:pPr>
      <w:r>
        <w:t xml:space="preserve">For each of the 432 specifications, a logistic regression of AKI on the exposure plus</w:t>
      </w:r>
      <w:r>
        <w:t xml:space="preserve"> </w:t>
      </w:r>
      <w:r>
        <w:t xml:space="preserve">the adjustment set.</w:t>
      </w:r>
    </w:p>
    <w:p>
      <w:pPr>
        <w:pStyle w:val="Compact"/>
        <w:numPr>
          <w:ilvl w:val="1"/>
          <w:numId w:val="1004"/>
        </w:numPr>
      </w:pPr>
      <w:r>
        <w:t xml:space="preserve">Units:</w:t>
      </w:r>
    </w:p>
    <w:p>
      <w:pPr>
        <w:pStyle w:val="Compact"/>
        <w:numPr>
          <w:ilvl w:val="2"/>
          <w:numId w:val="1005"/>
        </w:numPr>
      </w:pPr>
      <w:r>
        <w:t xml:space="preserve">binary: OR;</w:t>
      </w:r>
    </w:p>
    <w:p>
      <w:pPr>
        <w:pStyle w:val="Compact"/>
        <w:numPr>
          <w:ilvl w:val="2"/>
          <w:numId w:val="1005"/>
        </w:numPr>
      </w:pPr>
      <w:r>
        <w:t xml:space="preserve">minutes: per 10 min, truncated at 120 min;</w:t>
      </w:r>
    </w:p>
    <w:p>
      <w:pPr>
        <w:pStyle w:val="Compact"/>
        <w:numPr>
          <w:ilvl w:val="2"/>
          <w:numId w:val="1005"/>
        </w:numPr>
      </w:pPr>
      <w:r>
        <w:t xml:space="preserve">AUC: per 100 mmHg·min, truncated at the 99th percentile of the reference</w:t>
      </w:r>
      <w:r>
        <w:t xml:space="preserve"> </w:t>
      </w:r>
      <w:r>
        <w:t xml:space="preserve">distribution;</w:t>
      </w:r>
    </w:p>
    <w:p>
      <w:pPr>
        <w:pStyle w:val="Compact"/>
        <w:numPr>
          <w:ilvl w:val="2"/>
          <w:numId w:val="1005"/>
        </w:numPr>
      </w:pPr>
      <w:r>
        <w:t xml:space="preserve">TWA: per 1 mmHg.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Primary estimand:</w:t>
      </w:r>
      <w:r>
        <w:t xml:space="preserve"> </w:t>
      </w:r>
      <w:r>
        <w:t xml:space="preserve">the ratio of odds ratios (ROR = OR_pipeline / OR_reference) for</w:t>
      </w:r>
      <w:r>
        <w:t xml:space="preserve"> </w:t>
      </w:r>
      <w:r>
        <w:t xml:space="preserve">the binary exposure</w:t>
      </w:r>
      <w:r>
        <w:t xml:space="preserve"> </w:t>
      </w:r>
      <w:r>
        <w:t xml:space="preserve">“≥ 10 min with MAP &lt; 65”</w:t>
      </w:r>
      <w:r>
        <w:t xml:space="preserve">, with patient-level paired bootstrap 95% CI</w:t>
      </w:r>
      <w:r>
        <w:t xml:space="preserve"> </w:t>
      </w:r>
      <w:r>
        <w:t xml:space="preserve">(1,000 resamples, the same resample for both models).</w:t>
      </w:r>
    </w:p>
    <w:p>
      <w:pPr>
        <w:pStyle w:val="Compact"/>
        <w:numPr>
          <w:ilvl w:val="1"/>
          <w:numId w:val="1004"/>
        </w:numPr>
      </w:pPr>
      <w:r>
        <w:t xml:space="preserve">Paired bootstrap for all 35 filter × resolution specifications of the primary metric.</w:t>
      </w:r>
      <w:r>
        <w:t xml:space="preserve"> </w:t>
      </w:r>
      <w:r>
        <w:t xml:space="preserve">The other specifications are reported as point estimates in a specification curve.</w:t>
      </w:r>
    </w:p>
    <w:p>
      <w:pPr>
        <w:pStyle w:val="Compact"/>
        <w:numPr>
          <w:ilvl w:val="1"/>
          <w:numId w:val="1004"/>
        </w:numPr>
      </w:pPr>
      <w:r>
        <w:t xml:space="preserve">Fragility summaries: range and IQR of ORs; proportion of specifications whose 95% CI</w:t>
      </w:r>
      <w:r>
        <w:t xml:space="preserve"> </w:t>
      </w:r>
      <w:r>
        <w:t xml:space="preserve">excludes 1; the number of specifications that change the qualitative conclusion.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O5.</w:t>
      </w:r>
    </w:p>
    <w:p>
      <w:pPr>
        <w:pStyle w:val="Compact"/>
        <w:numPr>
          <w:ilvl w:val="1"/>
          <w:numId w:val="1006"/>
        </w:numPr>
      </w:pPr>
      <w:r>
        <w:t xml:space="preserve">Artefact-attributable minutes = minutes &lt; 65 (F1, R3) − reference minutes &lt; 65.</w:t>
      </w:r>
    </w:p>
    <w:p>
      <w:pPr>
        <w:pStyle w:val="Compact"/>
        <w:numPr>
          <w:ilvl w:val="1"/>
          <w:numId w:val="1006"/>
        </w:numPr>
      </w:pPr>
    </w:p>
    <w:p>
      <w:pPr>
        <w:pStyle w:val="Compact"/>
        <w:numPr>
          <w:ilvl w:val="2"/>
          <w:numId w:val="1007"/>
        </w:numPr>
      </w:pPr>
      <w:r>
        <w:t xml:space="preserve">Spearman correlation with the number of intraoperative arterial blood gases (VitalDB</w:t>
      </w:r>
      <w:r>
        <w:t xml:space="preserve"> </w:t>
      </w:r>
      <w:r>
        <w:t xml:space="preserve">labs with a pH result during anaesthesia) and with ASA.</w:t>
      </w:r>
    </w:p>
    <w:p>
      <w:pPr>
        <w:pStyle w:val="Compact"/>
        <w:numPr>
          <w:ilvl w:val="1"/>
          <w:numId w:val="1006"/>
        </w:numPr>
      </w:pPr>
      <w:r>
        <w:t xml:space="preserve">(b) Logistic regression of AKI on artefact-attributable minutes, adjusted for reference</w:t>
      </w:r>
      <w:r>
        <w:t xml:space="preserve"> </w:t>
      </w:r>
      <w:r>
        <w:t xml:space="preserve">minutes and the adjustment set. Any association indicates differential</w:t>
      </w:r>
      <w:r>
        <w:t xml:space="preserve"> </w:t>
      </w:r>
      <w:r>
        <w:t xml:space="preserve">misclassification.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O6.</w:t>
      </w:r>
    </w:p>
    <w:p>
      <w:pPr>
        <w:pStyle w:val="Compact"/>
        <w:numPr>
          <w:ilvl w:val="1"/>
          <w:numId w:val="1008"/>
        </w:numPr>
      </w:pPr>
      <w:r>
        <w:t xml:space="preserve">Episodes are contiguous runs of aligned 2-s monitor MAP &lt; 65 within the monitoring</w:t>
      </w:r>
      <w:r>
        <w:t xml:space="preserve"> </w:t>
      </w:r>
      <w:r>
        <w:t xml:space="preserve">period.</w:t>
      </w:r>
    </w:p>
    <w:p>
      <w:pPr>
        <w:pStyle w:val="Compact"/>
        <w:numPr>
          <w:ilvl w:val="1"/>
          <w:numId w:val="1008"/>
        </w:numPr>
      </w:pPr>
      <w:r>
        <w:t xml:space="preserve">An episode is</w:t>
      </w:r>
      <w:r>
        <w:t xml:space="preserve"> </w:t>
      </w:r>
      <w:r>
        <w:rPr>
          <w:b/>
          <w:bCs/>
        </w:rPr>
        <w:t xml:space="preserve">artefactual</w:t>
      </w:r>
      <w:r>
        <w:t xml:space="preserve"> </w:t>
      </w:r>
      <w:r>
        <w:t xml:space="preserve">if ≥ 50% of its windows are non-valid (any label other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t xml:space="preserve">P(artefact) is tabulated by duration (≤ 10 s, 10–30 s, 30–60 s, 1–2 min, 2–5 min, &gt; 5 min)</w:t>
      </w:r>
      <w:r>
        <w:t xml:space="preserve"> </w:t>
      </w:r>
      <w:r>
        <w:t xml:space="preserve">× nadir (&lt; 20, 20–39, 40–54, 55–64), with Wilson CIs.</w:t>
      </w:r>
    </w:p>
    <w:p>
      <w:pPr>
        <w:pStyle w:val="Compact"/>
        <w:numPr>
          <w:ilvl w:val="1"/>
          <w:numId w:val="1008"/>
        </w:numPr>
      </w:pPr>
      <w:r>
        <w:t xml:space="preserve">A simple rule is derived on a 50% patient split (hash of caseid) and validated on the</w:t>
      </w:r>
      <w:r>
        <w:t xml:space="preserve"> </w:t>
      </w:r>
      <w:r>
        <w:t xml:space="preserve">other 50%. The rule uses only features visible at the bedside: duration, nadir, and the</w:t>
      </w:r>
      <w:r>
        <w:t xml:space="preserve"> </w:t>
      </w:r>
      <w:r>
        <w:t xml:space="preserve">maximum MAP in the preceding 30 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Mortality</w:t>
      </w:r>
      <w:r>
        <w:t xml:space="preserve"> </w:t>
      </w:r>
      <w:r>
        <w:t xml:space="preserve">(few events, about 40): Firth-penalised logistic regression adjusted for age,</w:t>
      </w:r>
      <w:r>
        <w:t xml:space="preserve"> </w:t>
      </w:r>
      <w:r>
        <w:t xml:space="preserve">ASA ≥ 3, emergency and eGFR. Reported descriptively with the specification spread only.</w:t>
      </w:r>
    </w:p>
    <w:p>
      <w:pPr>
        <w:pStyle w:val="Heading3"/>
      </w:pPr>
      <w:bookmarkStart w:id="48" w:name="_b7c414db0948550673b8c1b9053b05e643ffd4a"/>
      <w:r>
        <w:t xml:space="preserve">7. Validation of the reference</w:t>
      </w:r>
      <w:bookmarkEnd w:id="48"/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V1 injection–recovery:</w:t>
      </w:r>
    </w:p>
    <w:p>
      <w:pPr>
        <w:pStyle w:val="Compact"/>
        <w:numPr>
          <w:ilvl w:val="1"/>
          <w:numId w:val="1010"/>
        </w:numPr>
      </w:pPr>
      <w:r>
        <w:t xml:space="preserve">Clean 2-min segments from 100 randomly selected cases.</w:t>
      </w:r>
    </w:p>
    <w:p>
      <w:pPr>
        <w:pStyle w:val="Compact"/>
        <w:numPr>
          <w:ilvl w:val="1"/>
          <w:numId w:val="1010"/>
        </w:numPr>
      </w:pPr>
      <w:r>
        <w:t xml:space="preserve">Inject synthetic artefacts (Li, Mark &amp; Clifford 2009 types): flush square wave to</w:t>
      </w:r>
      <w:r>
        <w:t xml:space="preserve"> </w:t>
      </w:r>
      <w:r>
        <w:t xml:space="preserve">300 mmHg, zeroing (0 mmHg), sampling (flat line at line pressure, then flush), overdamping</w:t>
      </w:r>
      <w:r>
        <w:t xml:space="preserve"> </w:t>
      </w:r>
      <w:r>
        <w:t xml:space="preserve">(low-pass), high-frequency noise, and a 15 mmHg transducer offset.</w:t>
      </w:r>
    </w:p>
    <w:p>
      <w:pPr>
        <w:pStyle w:val="Compact"/>
        <w:numPr>
          <w:ilvl w:val="1"/>
          <w:numId w:val="1010"/>
        </w:numPr>
      </w:pPr>
      <w:r>
        <w:t xml:space="preserve">Report the detection sensitivity per type. Specificity is measured on uninjected clean</w:t>
      </w:r>
      <w:r>
        <w:t xml:space="preserve"> </w:t>
      </w:r>
      <w:r>
        <w:t xml:space="preserve">segments.</w:t>
      </w:r>
    </w:p>
    <w:p>
      <w:pPr>
        <w:pStyle w:val="Compact"/>
        <w:numPr>
          <w:ilvl w:val="1"/>
          <w:numId w:val="1010"/>
        </w:numPr>
      </w:pPr>
      <w:r>
        <w:t xml:space="preserve">The transducer offset is expected to be undetectable by design (limitation).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V2 blinded adjudication:</w:t>
      </w:r>
      <w:r>
        <w:t xml:space="preserve"> </w:t>
      </w:r>
      <w:r>
        <w:t xml:space="preserve">150 stratified random 40-s snippets, plotted without labels and</w:t>
      </w:r>
      <w:r>
        <w:t xml:space="preserve"> </w:t>
      </w:r>
      <w:r>
        <w:t xml:space="preserve">adjudicated by an independent AI reviewer agent as valid or artefact. Report kappa. The</w:t>
      </w:r>
      <w:r>
        <w:t xml:space="preserve"> </w:t>
      </w:r>
      <w:r>
        <w:t xml:space="preserve">adjudicator is not a human expert, and this is disclosed.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V3 physiological concordance:</w:t>
      </w:r>
      <w:r>
        <w:t xml:space="preserve"> </w:t>
      </w:r>
      <w:r>
        <w:t xml:space="preserve">|ART − NIBP| at NIBP measurement times, for valid versus</w:t>
      </w:r>
      <w:r>
        <w:t xml:space="preserve"> </w:t>
      </w:r>
      <w:r>
        <w:t xml:space="preserve">non-valid windows; agreement of the waveform HR with the monitor ECG HR.</w:t>
      </w:r>
    </w:p>
    <w:p>
      <w:pPr>
        <w:pStyle w:val="Heading3"/>
      </w:pPr>
      <w:bookmarkStart w:id="49" w:name="_d8e98346e4c2d6d788e6f96826bd986b079b2ab"/>
      <w:r>
        <w:t xml:space="preserve">8. Sensitivity analyses</w:t>
      </w:r>
      <w:bookmarkEnd w:id="4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guard 0 s and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pulse-pressure threshold for non-pulsatile 5 and 12 mmHg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reference minute validity threshold 25% and 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missing postoperative creatinine treated as no AKI (cohort without the 7-day creatinine requirement)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add intraoperative blood loss to the adjustment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include transplantation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AKI stage ≥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reference built on the waveform mean instead of the monitor numerics</w:t>
            </w:r>
          </w:p>
        </w:tc>
      </w:tr>
    </w:tbl>
    <w:p>
      <w:pPr>
        <w:pStyle w:val="Heading3"/>
      </w:pPr>
      <w:bookmarkStart w:id="50" w:name="_a8de16fabd2f50817b00dcab89b8c37accacdbb"/>
      <w:r>
        <w:t xml:space="preserve">9. What this study cannot show</w:t>
      </w:r>
      <w:bookmarkEnd w:id="50"/>
    </w:p>
    <w:p>
      <w:pPr>
        <w:pStyle w:val="Compact"/>
        <w:numPr>
          <w:ilvl w:val="0"/>
          <w:numId w:val="1011"/>
        </w:numPr>
      </w:pPr>
      <w:r>
        <w:t xml:space="preserve">It cannot detect artefacts that leave a normal-looking waveform, such as transducer</w:t>
      </w:r>
      <w:r>
        <w:t xml:space="preserve"> </w:t>
      </w:r>
      <w:r>
        <w:t xml:space="preserve">height errors. The reference is an improved series, not ground truth.</w:t>
      </w:r>
    </w:p>
    <w:p>
      <w:pPr>
        <w:pStyle w:val="Compact"/>
        <w:numPr>
          <w:ilvl w:val="0"/>
          <w:numId w:val="1011"/>
        </w:numPr>
      </w:pPr>
      <w:r>
        <w:t xml:space="preserve">It cannot identify the clinical response to artefacts: VitalDB records vasopressor bolus</w:t>
      </w:r>
      <w:r>
        <w:t xml:space="preserve"> </w:t>
      </w:r>
      <w:r>
        <w:t xml:space="preserve">totals only.</w:t>
      </w:r>
    </w:p>
    <w:p>
      <w:pPr>
        <w:pStyle w:val="Compact"/>
        <w:numPr>
          <w:ilvl w:val="0"/>
          <w:numId w:val="1011"/>
        </w:numPr>
      </w:pPr>
      <w:r>
        <w:t xml:space="preserve">The data come from a single centre in 2016–2017.</w:t>
      </w:r>
    </w:p>
    <w:p>
      <w:pPr>
        <w:pStyle w:val="Compact"/>
        <w:numPr>
          <w:ilvl w:val="0"/>
          <w:numId w:val="1011"/>
        </w:numPr>
      </w:pPr>
      <w:r>
        <w:t xml:space="preserve">The associations are observational.</w:t>
      </w:r>
    </w:p>
    <w:p>
      <w:pPr>
        <w:pStyle w:val="Heading3"/>
      </w:pPr>
      <w:bookmarkStart w:id="51" w:name="_24a3d6e990c9402818d980d692da9374f3448cd"/>
      <w:r>
        <w:t xml:space="preserve">Amendments (2026-10-26, before freezing, after an adversarial methods review; no outcome data examined)</w:t>
      </w:r>
      <w:bookmarkEnd w:id="51"/>
    </w:p>
    <w:p>
      <w:pPr>
        <w:pStyle w:val="FirstParagraph"/>
      </w:pPr>
      <w:r>
        <w:t xml:space="preserve">Where an amendment conflicts with the text above, the amendment governs.</w:t>
      </w:r>
    </w:p>
    <w:p>
      <w:pPr>
        <w:pStyle w:val="BodyText"/>
      </w:pPr>
      <w:r>
        <w:rPr>
          <w:b/>
          <w:bCs/>
        </w:rPr>
        <w:t xml:space="preserve">A1 (adapted) — validation without human adjudicators.</w:t>
      </w:r>
      <w:r>
        <w:t xml:space="preserve"> </w:t>
      </w:r>
      <w:r>
        <w:t xml:space="preserve">Two blinded human anaesthesiologist</w:t>
      </w:r>
      <w:r>
        <w:t xml:space="preserve"> </w:t>
      </w:r>
      <w:r>
        <w:t xml:space="preserve">adjudicators are not available for this version. Validation of the reference therefore</w:t>
      </w:r>
      <w:r>
        <w:t xml:space="preserve"> </w:t>
      </w:r>
      <w:r>
        <w:t xml:space="preserve">rests on (i) physiological concordance with independent sensors (V3, now primary),</w:t>
      </w:r>
      <w:r>
        <w:t xml:space="preserve"> </w:t>
      </w:r>
      <w:r>
        <w:t xml:space="preserve">(ii) injection–recovery (V1), and (iii) a blinded AI rater (V2, explicitly secondary and</w:t>
      </w:r>
      <w:r>
        <w:t xml:space="preserve"> </w:t>
      </w:r>
      <w:r>
        <w:t xml:space="preserve">non-decisive). Throughout the paper, minutes are called</w:t>
      </w:r>
      <w:r>
        <w:t xml:space="preserve"> </w:t>
      </w:r>
      <w:r>
        <w:rPr>
          <w:b/>
          <w:bCs/>
        </w:rPr>
        <w:t xml:space="preserve">“waveform-flagged”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“artefact”</w:t>
      </w:r>
      <w:r>
        <w:t xml:space="preserve"> </w:t>
      </w:r>
      <w:r>
        <w:t xml:space="preserve">unless independent evidence supports the stronger term. A stratified 400-snippet</w:t>
      </w:r>
      <w:r>
        <w:t xml:space="preserve"> </w:t>
      </w:r>
      <w:r>
        <w:t xml:space="preserve">adjudication set (strata A–D of the review: 150 monitor MAP &lt; 65 &amp; non-valid incl. 50</w:t>
      </w:r>
      <w:r>
        <w:t xml:space="preserve"> </w:t>
      </w:r>
      <w:r>
        <w:t xml:space="preserve">guard-only; 100 MAP &lt; 65 &amp; valid; 100 random valid; 50 random non-valid with MAP ≥ 65; at</w:t>
      </w:r>
      <w:r>
        <w:t xml:space="preserve"> </w:t>
      </w:r>
      <w:r>
        <w:t xml:space="preserve">most two per patient, selected by hash of subjectid) is generated and released with blank</w:t>
      </w:r>
      <w:r>
        <w:t xml:space="preserve"> </w:t>
      </w:r>
      <w:r>
        <w:t xml:space="preserve">forms, so that human adjudication can be added later.</w:t>
      </w:r>
    </w:p>
    <w:p>
      <w:pPr>
        <w:pStyle w:val="BodyText"/>
      </w:pPr>
      <w:r>
        <w:rPr>
          <w:b/>
          <w:bCs/>
        </w:rPr>
        <w:t xml:space="preserve">A2 — freeze.</w:t>
      </w:r>
      <w:r>
        <w:t xml:space="preserve"> </w:t>
      </w:r>
      <w:r>
        <w:t xml:space="preserve">The freeze is a git tag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on a commit whose code implements</w:t>
      </w:r>
      <w:r>
        <w:t xml:space="preserve"> </w:t>
      </w:r>
      <w:r>
        <w:t xml:space="preserve">§4–§6 with these amendments, passes</w:t>
      </w:r>
      <w:r>
        <w:t xml:space="preserve"> </w:t>
      </w:r>
      <w:r>
        <w:rPr>
          <w:rStyle w:val="VerbatimChar"/>
        </w:rPr>
        <w:t xml:space="preserve">tests/test_pipelines.py</w:t>
      </w:r>
      <w:r>
        <w:t xml:space="preserve">, and has completed an</w:t>
      </w:r>
      <w:r>
        <w:t xml:space="preserve"> </w:t>
      </w:r>
      <w:r>
        <w:t xml:space="preserve">end-to-end run with the AKI and death vectors replaced by a seeded permutation (outputs</w:t>
      </w:r>
      <w:r>
        <w:t xml:space="preserve"> </w:t>
      </w:r>
      <w:r>
        <w:t xml:space="preserve">archived in</w:t>
      </w:r>
      <w:r>
        <w:t xml:space="preserve"> </w:t>
      </w:r>
      <w:r>
        <w:rPr>
          <w:rStyle w:val="VerbatimChar"/>
        </w:rPr>
        <w:t xml:space="preserve">out/results_permuted/</w:t>
      </w:r>
      <w:r>
        <w:t xml:space="preserve">). The SHA-256 of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is recorded in the tag</w:t>
      </w:r>
      <w:r>
        <w:t xml:space="preserve"> </w:t>
      </w:r>
      <w:r>
        <w:t xml:space="preserve">message. An external registry (OSF) was not available; the local git history is the record.</w:t>
      </w:r>
      <w:r>
        <w:t xml:space="preserve"> </w:t>
      </w:r>
      <w:r>
        <w:t xml:space="preserve">Descriptive artefact statistics before freezing used ≤ 600 cases.</w:t>
      </w:r>
    </w:p>
    <w:p>
      <w:pPr>
        <w:pStyle w:val="BodyText"/>
      </w:pPr>
      <w:r>
        <w:rPr>
          <w:b/>
          <w:bCs/>
        </w:rPr>
        <w:t xml:space="preserve">A3 — primary estimand.</w:t>
      </w:r>
      <w:r>
        <w:t xml:space="preserve"> </w:t>
      </w:r>
      <w:r>
        <w:t xml:space="preserve">ROR = OR_P / OR_ref for</w:t>
      </w:r>
      <w:r>
        <w:t xml:space="preserve"> </w:t>
      </w:r>
      <w:r>
        <w:t xml:space="preserve">“≥ 10 cumulative minutes with MAP &lt; 65”</w:t>
      </w:r>
      <w:r>
        <w:t xml:space="preserve">,</w:t>
      </w:r>
      <w:r>
        <w:t xml:space="preserve"> </w:t>
      </w:r>
      <w:r>
        <w:t xml:space="preserve">P = F1 × R3 (MAP 20–250 range filter, 1-min median), ref = bridged reference at R3. Paired</w:t>
      </w:r>
      <w:r>
        <w:t xml:space="preserve"> </w:t>
      </w:r>
      <w:r>
        <w:t xml:space="preserve">bootstrap, 2,000 resamples of patients, percentile 95% CI. Decision rule with equivalence</w:t>
      </w:r>
      <w:r>
        <w:t xml:space="preserve"> </w:t>
      </w:r>
      <w:r>
        <w:t xml:space="preserve">margin 0.80–1.25: CI entirely within -&gt;</w:t>
      </w:r>
      <w:r>
        <w:t xml:space="preserve"> </w:t>
      </w:r>
      <w:r>
        <w:t xml:space="preserve">“artefact handling does not materially change the</w:t>
      </w:r>
      <w:r>
        <w:t xml:space="preserve"> </w:t>
      </w:r>
      <w:r>
        <w:t xml:space="preserve">association”</w:t>
      </w:r>
      <w:r>
        <w:t xml:space="preserve">; CI excludes 1 and point estimate outside the margin -&gt;</w:t>
      </w:r>
      <w:r>
        <w:t xml:space="preserve"> </w:t>
      </w:r>
      <w:r>
        <w:t xml:space="preserve">“material change”</w:t>
      </w:r>
      <w:r>
        <w:t xml:space="preserve">;</w:t>
      </w:r>
      <w:r>
        <w:t xml:space="preserve"> </w:t>
      </w:r>
      <w:r>
        <w:t xml:space="preserve">otherwise</w:t>
      </w:r>
      <w:r>
        <w:t xml:space="preserve"> </w:t>
      </w:r>
      <w:r>
        <w:t xml:space="preserve">“inconclusive”</w:t>
      </w:r>
      <w:r>
        <w:t xml:space="preserve">. Under non-differential misclassification of plausible size the ROR</w:t>
      </w:r>
      <w:r>
        <w:t xml:space="preserve"> </w:t>
      </w:r>
      <w:r>
        <w:t xml:space="preserve">is expected near 0.90–0.97, so this estimand detects differential bias large enough to</w:t>
      </w:r>
      <w:r>
        <w:t xml:space="preserve"> </w:t>
      </w:r>
      <w:r>
        <w:t xml:space="preserve">matter. Key secondaries: (a) F0 × R1 vs ref@R1; (b) per-10-min log-OR for cumulative minutes</w:t>
      </w:r>
      <w:r>
        <w:t xml:space="preserve"> </w:t>
      </w:r>
      <w:r>
        <w:t xml:space="preserve">&lt; 65, F1 × R3 vs ref@R3, difference with bootstrap CI and attenuation factor β_P/β_ref.</w:t>
      </w:r>
    </w:p>
    <w:p>
      <w:pPr>
        <w:pStyle w:val="BodyText"/>
      </w:pPr>
      <w:r>
        <w:rPr>
          <w:b/>
          <w:bCs/>
        </w:rPr>
        <w:t xml:space="preserve">A4 — gap bridging.</w:t>
      </w:r>
      <w:r>
        <w:t xml:space="preserve"> </w:t>
      </w:r>
      <w:r>
        <w:t xml:space="preserve">Runs of non-valid windows ≤ 3 min bounded by ≥ 30 s of valid windows on</w:t>
      </w:r>
      <w:r>
        <w:t xml:space="preserve"> </w:t>
      </w:r>
      <w:r>
        <w:t xml:space="preserve">both sides are linearly bridged between the median valid MAP of the 30 s before and after.</w:t>
      </w:r>
      <w:r>
        <w:t xml:space="preserve"> </w:t>
      </w:r>
      <w:r>
        <w:t xml:space="preserve">The unbridged reference is a sensitivity analysis. Each pipeline-recorded minute &lt; 65 is</w:t>
      </w:r>
      <w:r>
        <w:t xml:space="preserve"> </w:t>
      </w:r>
      <w:r>
        <w:rPr>
          <w:i/>
          <w:iCs/>
        </w:rPr>
        <w:t xml:space="preserve">spurious</w:t>
      </w:r>
      <w:r>
        <w:t xml:space="preserve"> </w:t>
      </w:r>
      <w:r>
        <w:t xml:space="preserve">(reference ≥ 65),</w:t>
      </w:r>
      <w:r>
        <w:t xml:space="preserve"> </w:t>
      </w:r>
      <w:r>
        <w:rPr>
          <w:i/>
          <w:iCs/>
        </w:rPr>
        <w:t xml:space="preserve">confirmed</w:t>
      </w:r>
      <w:r>
        <w:t xml:space="preserve"> </w:t>
      </w:r>
      <w:r>
        <w:t xml:space="preserve">(reference &lt; 65, ≥ 50% observed),</w:t>
      </w:r>
      <w:r>
        <w:t xml:space="preserve"> </w:t>
      </w:r>
      <w:r>
        <w:rPr>
          <w:i/>
          <w:iCs/>
        </w:rPr>
        <w:t xml:space="preserve">bridged-low</w:t>
      </w:r>
      <w:r>
        <w:t xml:space="preserve"> </w:t>
      </w:r>
      <w:r>
        <w:t xml:space="preserve">(reference &lt; 65, &lt; 50% observed) or</w:t>
      </w:r>
      <w:r>
        <w:t xml:space="preserve"> </w:t>
      </w:r>
      <w:r>
        <w:rPr>
          <w:i/>
          <w:iCs/>
        </w:rPr>
        <w:t xml:space="preserve">indeterminate</w:t>
      </w:r>
      <w:r>
        <w:t xml:space="preserve"> </w:t>
      </w:r>
      <w:r>
        <w:t xml:space="preserve">(reference missing). Primary O2 quantity</w:t>
      </w:r>
      <w:r>
        <w:t xml:space="preserve"> </w:t>
      </w:r>
      <w:r>
        <w:t xml:space="preserve">= spurious / all recorded minutes &lt; 65, reported with indeterminate / all; indeterminate</w:t>
      </w:r>
      <w:r>
        <w:t xml:space="preserve"> </w:t>
      </w:r>
      <w:r>
        <w:t xml:space="preserve">minutes are never counted as artefact.</w:t>
      </w:r>
    </w:p>
    <w:p>
      <w:pPr>
        <w:pStyle w:val="BodyText"/>
      </w:pPr>
      <w:r>
        <w:rPr>
          <w:b/>
          <w:bCs/>
        </w:rPr>
        <w:t xml:space="preserve">A5 — missing waveform.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is not an artefact and creates no guard. Minutes with</w:t>
      </w:r>
      <w:r>
        <w:t xml:space="preserve"> </w:t>
      </w:r>
      <w:r>
        <w:t xml:space="preserve">&gt; 50%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windows are excluded from every pipeline and the reference (common support).</w:t>
      </w:r>
    </w:p>
    <w:p>
      <w:pPr>
        <w:pStyle w:val="BodyText"/>
      </w:pPr>
      <w:r>
        <w:rPr>
          <w:b/>
          <w:bCs/>
        </w:rPr>
        <w:t xml:space="preserve">A6 — patients.</w:t>
      </w:r>
      <w:r>
        <w:t xml:space="preserve"> </w:t>
      </w:r>
      <w:r>
        <w:t xml:space="preserve">Unit = patient (</w:t>
      </w:r>
      <w:r>
        <w:rPr>
          <w:rStyle w:val="VerbatimChar"/>
        </w:rPr>
        <w:t xml:space="preserve">subjectid</w:t>
      </w:r>
      <w:r>
        <w:t xml:space="preserve">); first eligible case per patient (lowest</w:t>
      </w:r>
      <w:r>
        <w:t xml:space="preserve"> </w:t>
      </w:r>
      <w:r>
        <w:t xml:space="preserve">caseid). Bootstrap and the O6 split are by patient.</w:t>
      </w:r>
    </w:p>
    <w:p>
      <w:pPr>
        <w:pStyle w:val="BodyText"/>
      </w:pPr>
      <w:r>
        <w:rPr>
          <w:b/>
          <w:bCs/>
        </w:rPr>
        <w:t xml:space="preserve">A7 — O5.</w:t>
      </w:r>
      <w:r>
        <w:t xml:space="preserve"> </w:t>
      </w:r>
      <w:r>
        <w:t xml:space="preserve">(a) Spearman of spurious minutes per monitored hour with arterial blood gases per</w:t>
      </w:r>
      <w:r>
        <w:t xml:space="preserve"> </w:t>
      </w:r>
      <w:r>
        <w:t xml:space="preserve">hour and ASA. (b) Firth logistic regression of AKI on log1p(spurious minutes/h), adjusted for</w:t>
      </w:r>
      <w:r>
        <w:t xml:space="preserve"> </w:t>
      </w:r>
      <w:r>
        <w:t xml:space="preserve">reference minutes &lt; 65 (linear + restricted cubic spline), log monitored hours and the §5 set;</w:t>
      </w:r>
      <w:r>
        <w:t xml:space="preserve"> </w:t>
      </w:r>
      <w:r>
        <w:t xml:space="preserve">separately for minutes dominated by zero/high labels (g1) and non-pulsatile/noise labels (g2).</w:t>
      </w:r>
      <w:r>
        <w:t xml:space="preserve"> </w:t>
      </w:r>
      <w:r>
        <w:t xml:space="preserve">(c) Negative-control exposure: spurious hypertensive minutes (pipeline MAP &gt; 120 with</w:t>
      </w:r>
      <w:r>
        <w:t xml:space="preserve"> </w:t>
      </w:r>
      <w:r>
        <w:t xml:space="preserve">reference ≤ 100), in the same model. (d) Mechanism model adding blood gases per hour,</w:t>
      </w:r>
      <w:r>
        <w:t xml:space="preserve"> </w:t>
      </w:r>
      <w:r>
        <w:t xml:space="preserve">log1p(blood loss) and red-cell units.</w:t>
      </w:r>
    </w:p>
    <w:p>
      <w:pPr>
        <w:pStyle w:val="BodyText"/>
      </w:pPr>
      <w:r>
        <w:rPr>
          <w:b/>
          <w:bCs/>
        </w:rPr>
        <w:t xml:space="preserve">A8 — resolution.</w:t>
      </w:r>
      <w:r>
        <w:t xml:space="preserve"> </w:t>
      </w:r>
      <w:r>
        <w:t xml:space="preserve">The reference is sampled at every resolution and each pipeline is</w:t>
      </w:r>
      <w:r>
        <w:t xml:space="preserve"> </w:t>
      </w:r>
      <w:r>
        <w:t xml:space="preserve">compared with ref@R; the resolution effect is OR(ref@R)/OR(ref@R3). R4 uses all 5 phase</w:t>
      </w:r>
      <w:r>
        <w:t xml:space="preserve"> </w:t>
      </w:r>
      <w:r>
        <w:t xml:space="preserve">offsets and R5 offsets 0, 3, 6, 9, 12 min; log-ORs are averaged over offsets within each</w:t>
      </w:r>
      <w:r>
        <w:t xml:space="preserve"> </w:t>
      </w:r>
      <w:r>
        <w:t xml:space="preserve">bootstrap resample. A charted value is the first non-missing 2-s value in its interval. F5</w:t>
      </w:r>
      <w:r>
        <w:t xml:space="preserve"> </w:t>
      </w:r>
      <w:r>
        <w:t xml:space="preserve">and F6 are applied after sampling on the pipeline’s own grid (F6 = 7-point running median).</w:t>
      </w:r>
      <w:r>
        <w:t xml:space="preserve"> </w:t>
      </w:r>
      <w:r>
        <w:t xml:space="preserve">S10: each pipeline uses a numerics-defined monitoring period (first to last 60-s run of</w:t>
      </w:r>
      <w:r>
        <w:t xml:space="preserve"> </w:t>
      </w:r>
      <w:r>
        <w:t xml:space="preserve">monitor MAP 40–150 within anaesthesia), as a retrospective study would.</w:t>
      </w:r>
    </w:p>
    <w:p>
      <w:pPr>
        <w:pStyle w:val="BodyText"/>
      </w:pPr>
      <w:r>
        <w:rPr>
          <w:b/>
          <w:bCs/>
        </w:rPr>
        <w:t xml:space="preserve">A9 — classifier calibration (descriptive data only).</w:t>
      </w:r>
      <w:r>
        <w:t xml:space="preserve"> </w:t>
      </w:r>
      <w:r>
        <w:t xml:space="preserve">Noise = waveform minimum &lt; −10 mmHg or</w:t>
      </w:r>
      <w:r>
        <w:t xml:space="preserve"> </w:t>
      </w:r>
      <w:r>
        <w:t xml:space="preserve">median |second difference| ≥ 4 mmHg (the single-spike slope rule is dropped). Guard is</w:t>
      </w:r>
      <w:r>
        <w:t xml:space="preserve"> </w:t>
      </w:r>
      <w:r>
        <w:t xml:space="preserve">asymmetric: 2 s before and 8 s after each artefact run (95th centile of monitor recovery</w:t>
      </w:r>
      <w:r>
        <w:t xml:space="preserve"> </w:t>
      </w:r>
      <w:r>
        <w:t xml:space="preserve">time after zero/high/non-pulsatile runs = 8 s; 99th = 16 s). Sensitivity S1 uses 0/0 s and</w:t>
      </w:r>
      <w:r>
        <w:t xml:space="preserve"> </w:t>
      </w:r>
      <w:r>
        <w:t xml:space="preserve">6/30 s.</w:t>
      </w:r>
    </w:p>
    <w:p>
      <w:pPr>
        <w:pStyle w:val="BodyText"/>
      </w:pPr>
      <w:r>
        <w:rPr>
          <w:b/>
          <w:bCs/>
        </w:rPr>
        <w:t xml:space="preserve">A10 — physiological checks (V3, now primary validation).</w:t>
      </w:r>
      <w:r>
        <w:t xml:space="preserve"> </w:t>
      </w:r>
      <w:r>
        <w:t xml:space="preserve">(i) For monitor MAP &lt; 65</w:t>
      </w:r>
      <w:r>
        <w:t xml:space="preserve"> </w:t>
      </w:r>
      <w:r>
        <w:t xml:space="preserve">episodes with an NIBP reading within ±3 min: proportion with NIBP MAP ≥ 70, by episode class;</w:t>
      </w:r>
      <w:r>
        <w:t xml:space="preserve"> </w:t>
      </w:r>
      <w:r>
        <w:t xml:space="preserve">(ii) for non-pulsatile windows: proportion with concurrent ECG HR 40–150 and pleth HR 40–150;</w:t>
      </w:r>
      <w:r>
        <w:t xml:space="preserve"> </w:t>
      </w:r>
      <w:r>
        <w:t xml:space="preserve">(iii) non-pulsatile fraction in patients with preoperative atrial fibrillation versus sinus</w:t>
      </w:r>
      <w:r>
        <w:t xml:space="preserve"> </w:t>
      </w:r>
      <w:r>
        <w:t xml:space="preserve">rhythm. V1 specificity is reported as the flag rate outside the injected stretch.</w:t>
      </w:r>
    </w:p>
    <w:p>
      <w:pPr>
        <w:pStyle w:val="BodyText"/>
      </w:pPr>
      <w:r>
        <w:rPr>
          <w:b/>
          <w:bCs/>
        </w:rPr>
        <w:t xml:space="preserve">A11 — O6.</w:t>
      </w:r>
      <w:r>
        <w:t xml:space="preserve"> </w:t>
      </w:r>
      <w:r>
        <w:t xml:space="preserve">Probability that a monitor-numerics low-MAP episode is waveform-flagged, for</w:t>
      </w:r>
      <w:r>
        <w:t xml:space="preserve"> </w:t>
      </w:r>
      <w:r>
        <w:t xml:space="preserve">retrospective cleaning and automated systems (not bedside use). Episode classes: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(≥ 50% artefact labels),</w:t>
      </w:r>
      <w:r>
        <w:t xml:space="preserve"> </w:t>
      </w:r>
      <w:r>
        <w:rPr>
          <w:i/>
          <w:iCs/>
        </w:rPr>
        <w:t xml:space="preserve">guard-dominated</w:t>
      </w:r>
      <w:r>
        <w:t xml:space="preserve"> </w:t>
      </w:r>
      <w:r>
        <w:t xml:space="preserve">(artefact + guard ≥ 50%, artefact &lt; 50%),</w:t>
      </w:r>
      <w:r>
        <w:t xml:space="preserve"> </w:t>
      </w:r>
      <w:r>
        <w:rPr>
          <w:i/>
          <w:iCs/>
        </w:rPr>
        <w:t xml:space="preserve">physiological</w:t>
      </w:r>
      <w:r>
        <w:t xml:space="preserve"> </w:t>
      </w:r>
      <w:r>
        <w:t xml:space="preserve">(otherwise). Patient-cluster bootstrap CIs. Rule: depth-≤ 2 tree on duration,</w:t>
      </w:r>
      <w:r>
        <w:t xml:space="preserve"> </w:t>
      </w:r>
      <w:r>
        <w:t xml:space="preserve">nadir and maximum MAP in the preceding 30 s, derived on a 50% patient-hash split with leaves</w:t>
      </w:r>
      <w:r>
        <w:t xml:space="preserve"> </w:t>
      </w:r>
      <w:r>
        <w:t xml:space="preserve">called</w:t>
      </w:r>
      <w:r>
        <w:t xml:space="preserve"> </w:t>
      </w:r>
      <w:r>
        <w:t xml:space="preserve">“flagged”</w:t>
      </w:r>
      <w:r>
        <w:t xml:space="preserve"> </w:t>
      </w:r>
      <w:r>
        <w:t xml:space="preserve">only at ≥ 90% specificity; validated on the other half (sensitivity,</w:t>
      </w:r>
      <w:r>
        <w:t xml:space="preserve"> </w:t>
      </w:r>
      <w:r>
        <w:t xml:space="preserve">specificity, PPV with cluster CIs).</w:t>
      </w:r>
    </w:p>
    <w:p>
      <w:pPr>
        <w:pStyle w:val="BodyText"/>
      </w:pPr>
      <w:r>
        <w:rPr>
          <w:b/>
          <w:bCs/>
        </w:rPr>
        <w:t xml:space="preserve">A12 — models.</w:t>
      </w:r>
      <w:r>
        <w:t xml:space="preserve"> </w:t>
      </w:r>
      <w:r>
        <w:t xml:space="preserve">Age and eGFR as restricted cubic splines (3 knots). Firth-penalised</w:t>
      </w:r>
      <w:r>
        <w:t xml:space="preserve"> </w:t>
      </w:r>
      <w:r>
        <w:t xml:space="preserve">likelihood for all models; failures counted. Simultaneous 95% bands (bootstrap max-|z|) for</w:t>
      </w:r>
      <w:r>
        <w:t xml:space="preserve"> </w:t>
      </w:r>
      <w:r>
        <w:t xml:space="preserve">the 35 F × R RORs. One analysis set for all specifications. S7 and mortality use a reduced</w:t>
      </w:r>
      <w:r>
        <w:t xml:space="preserve"> </w:t>
      </w:r>
      <w:r>
        <w:t xml:space="preserve">set (age and eGFR splines, ASA ≥ 3, emergency). Mortality: one pre-specified specification</w:t>
      </w:r>
      <w:r>
        <w:t xml:space="preserve"> </w:t>
      </w:r>
      <w:r>
        <w:t xml:space="preserve">(primary P vs ref) in the descriptive cohort, exploratory, no specification curve. S11 adds</w:t>
      </w:r>
      <w:r>
        <w:t xml:space="preserve"> </w:t>
      </w:r>
      <w:r>
        <w:t xml:space="preserve">the number of postoperative creatinine measurements. Precision check before unblinding by</w:t>
      </w:r>
      <w:r>
        <w:t xml:space="preserve"> </w:t>
      </w:r>
      <w:r>
        <w:t xml:space="preserve">simulation with assumed (not estimated) covariate effects and OR_ref = 1.5; if the expected</w:t>
      </w:r>
      <w:r>
        <w:t xml:space="preserve"> </w:t>
      </w:r>
      <w:r>
        <w:t xml:space="preserve">95% CI half-width of log ROR exceeds 0.22, the equivalence conclusion is declared</w:t>
      </w:r>
      <w:r>
        <w:t xml:space="preserve"> </w:t>
      </w:r>
      <w:r>
        <w:t xml:space="preserve">unattainable in advance.</w:t>
      </w:r>
    </w:p>
    <w:p>
      <w:pPr>
        <w:pStyle w:val="BodyText"/>
      </w:pPr>
      <w:r>
        <w:rPr>
          <w:b/>
          <w:bCs/>
        </w:rPr>
        <w:t xml:space="preserve">Cohorts.</w:t>
      </w:r>
      <w:r>
        <w:t xml:space="preserve"> </w:t>
      </w:r>
      <w:r>
        <w:rPr>
          <w:i/>
          <w:iCs/>
        </w:rPr>
        <w:t xml:space="preserve">Descriptive cohort</w:t>
      </w:r>
      <w:r>
        <w:t xml:space="preserve"> </w:t>
      </w:r>
      <w:r>
        <w:t xml:space="preserve">(O1–O3, O6, V3, mortality): adults, general anaesthesia,</w:t>
      </w:r>
      <w:r>
        <w:t xml:space="preserve"> </w:t>
      </w:r>
      <w:r>
        <w:t xml:space="preserve">≥ 30 min reference-valid monitoring, first case per patient.</w:t>
      </w:r>
      <w:r>
        <w:t xml:space="preserve"> </w:t>
      </w:r>
      <w:r>
        <w:rPr>
          <w:i/>
          <w:iCs/>
        </w:rPr>
        <w:t xml:space="preserve">AKI analysis set</w:t>
      </w:r>
      <w:r>
        <w:t xml:space="preserve"> </w:t>
      </w:r>
      <w:r>
        <w:t xml:space="preserve">(O4, O5,</w:t>
      </w:r>
      <w:r>
        <w:t xml:space="preserve"> </w:t>
      </w:r>
      <w:r>
        <w:t xml:space="preserve">S-analyses): additionally excludes transplantation, missing baseline creatinine, eGFR &lt; 15,</w:t>
      </w:r>
      <w:r>
        <w:t xml:space="preserve"> </w:t>
      </w:r>
      <w:r>
        <w:t xml:space="preserve">and no creatinine within 7 days.</w:t>
      </w:r>
    </w:p>
    <w:p>
      <w:pPr>
        <w:pStyle w:val="BodyText"/>
      </w:pPr>
      <w:r>
        <w:rPr>
          <w:b/>
          <w:bCs/>
        </w:rPr>
        <w:t xml:space="preserve">A13 — classifier v2 (before freezing; no outcome data examined).</w:t>
      </w:r>
      <w:r>
        <w:t xml:space="preserve"> </w:t>
      </w:r>
      <w:r>
        <w:t xml:space="preserve">The beat-lag</w:t>
      </w:r>
      <w:r>
        <w:t xml:space="preserve"> </w:t>
      </w:r>
      <w:r>
        <w:t xml:space="preserve">autocorrelation pulsatility criterion was dropped: in descriptive data it labelled 12% of</w:t>
      </w:r>
      <w:r>
        <w:t xml:space="preserve"> </w:t>
      </w:r>
      <w:r>
        <w:t xml:space="preserve">windows in patients with preoperative atrial fibrillation as non-pulsatile (1% in sinus</w:t>
      </w:r>
      <w:r>
        <w:t xml:space="preserve"> </w:t>
      </w:r>
      <w:r>
        <w:t xml:space="preserve">rhythm), and those windows had pulse pressures of 56–83 mmHg; it also fired on bigeminy and</w:t>
      </w:r>
      <w:r>
        <w:t xml:space="preserve"> </w:t>
      </w:r>
      <w:r>
        <w:t xml:space="preserve">slow heart rates. It was replaced by: pulse pressure &lt; 8 mmHg, OR interdecile range &lt; 3 mmHg,</w:t>
      </w:r>
      <w:r>
        <w:t xml:space="preserve"> </w:t>
      </w:r>
      <w:r>
        <w:t xml:space="preserve">OR no systolic upstroke (rise &gt; 8 mmHg within 100 ms) in the centred 6-s window. The noise</w:t>
      </w:r>
      <w:r>
        <w:t xml:space="preserve"> </w:t>
      </w:r>
      <w:r>
        <w:t xml:space="preserve">rule became minimum &lt; −10 mmHg OR median absolute second difference ≥ 4 mmHg (the earlier</w:t>
      </w:r>
      <w:r>
        <w:t xml:space="preserve"> </w:t>
      </w:r>
      <w:r>
        <w:t xml:space="preserve">rule fired on single spikes). Guard is asymmetric: 2 s before and 8 s after an artefact run</w:t>
      </w:r>
      <w:r>
        <w:t xml:space="preserve"> </w:t>
      </w:r>
      <w:r>
        <w:t xml:space="preserve">(95th centile of monitor recovery). All 3,645 waveform cases were re-extracted with these</w:t>
      </w:r>
      <w:r>
        <w:t xml:space="preserve"> </w:t>
      </w:r>
      <w:r>
        <w:t xml:space="preserve">features; 211 had a waveform track listed but not retrievable and are excluded as</w:t>
      </w:r>
      <w:r>
        <w:t xml:space="preserve"> </w:t>
      </w:r>
      <w:r>
        <w:t xml:space="preserve">“waveform</w:t>
      </w:r>
      <w:r>
        <w:t xml:space="preserve"> </w:t>
      </w:r>
      <w:r>
        <w:t xml:space="preserve">not retrievable”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A14 — O5 power and Firth iterations (before freezing; only the permuted outcome examined).</w:t>
      </w:r>
      <w:r>
        <w:t xml:space="preserve"> </w:t>
      </w:r>
      <w:r>
        <w:t xml:space="preserve">In the permuted dry run, spurious minutes at F1 × R3 were non-zero in 241 of 2,563 patients</w:t>
      </w:r>
      <w:r>
        <w:t xml:space="preserve"> </w:t>
      </w:r>
      <w:r>
        <w:t xml:space="preserve">(zero/flush-dominated in 19), which cannot carry the differential-misclassification test.</w:t>
      </w:r>
      <w:r>
        <w:t xml:space="preserve"> </w:t>
      </w:r>
      <w:r>
        <w:t xml:space="preserve">O5 is therefore run twice: at F1 × R3 as pre-specified, and at F0 × R1 (raw 2-s stream;</w:t>
      </w:r>
      <w:r>
        <w:t xml:space="preserve"> </w:t>
      </w:r>
      <w:r>
        <w:t xml:space="preserve">non-zero in 1,728 patients), with odds ratios also reported per standard deviation of the</w:t>
      </w:r>
      <w:r>
        <w:t xml:space="preserve"> </w:t>
      </w:r>
      <w:r>
        <w:t xml:space="preserve">exposure. The F0 × R1 version is the one interpreted. The Firth iteration limit was raised</w:t>
      </w:r>
      <w:r>
        <w:t xml:space="preserve"> </w:t>
      </w:r>
      <w:r>
        <w:t xml:space="preserve">from 50 to 200: in the dry run 1.7% of bootstrap fits stopped at 50 iterations short of the</w:t>
      </w:r>
      <w:r>
        <w:t xml:space="preserve"> </w:t>
      </w:r>
      <w:r>
        <w:t xml:space="preserve">1e−7 tolerance, and refitting them changed the estimate only in the eighth decimal.</w:t>
      </w:r>
    </w:p>
    <w:p>
      <w:pPr>
        <w:pStyle w:val="BodyText"/>
      </w:pPr>
      <w:r>
        <w:rPr>
          <w:b/>
          <w:bCs/>
        </w:rPr>
        <w:t xml:space="preserve">A15 — null calibration of the ROR interval (written before the calibration result was</w:t>
      </w:r>
      <w:r>
        <w:rPr>
          <w:b/>
          <w:bCs/>
        </w:rPr>
        <w:t xml:space="preserve"> </w:t>
      </w:r>
      <w:r>
        <w:rPr>
          <w:b/>
          <w:bCs/>
        </w:rPr>
        <w:t xml:space="preserve">seen; real outcome never examined).</w:t>
      </w:r>
      <w:r>
        <w:t xml:space="preserve"> </w:t>
      </w:r>
      <w:r>
        <w:t xml:space="preserve">In the dry run several RORs had percentile intervals</w:t>
      </w:r>
      <w:r>
        <w:t xml:space="preserve"> </w:t>
      </w:r>
      <w:r>
        <w:t xml:space="preserve">excluding 1 although the permuted outcome makes the true ROR exactly 1, because the contrast</w:t>
      </w:r>
      <w:r>
        <w:t xml:space="preserve"> </w:t>
      </w:r>
      <w:r>
        <w:t xml:space="preserve">rests on the few dozen patients whose exposure category differs.</w:t>
      </w:r>
      <w:r>
        <w:t xml:space="preserve"> </w:t>
      </w:r>
      <w:r>
        <w:rPr>
          <w:rStyle w:val="VerbatimChar"/>
        </w:rPr>
        <w:t xml:space="preserve">src/null_calibration.py</w:t>
      </w:r>
      <w:r>
        <w:t xml:space="preserve"> </w:t>
      </w:r>
      <w:r>
        <w:t xml:space="preserve">re-permutes the outcome 100 times and, for F1 × R3, F0 × R1, F3 × R2 and F6 × R3, records how</w:t>
      </w:r>
      <w:r>
        <w:t xml:space="preserve"> </w:t>
      </w:r>
      <w:r>
        <w:t xml:space="preserve">often the paired-bootstrap 95% interval (B = 200) covers 1, and the ratio of the mean</w:t>
      </w:r>
      <w:r>
        <w:t xml:space="preserve"> </w:t>
      </w:r>
      <w:r>
        <w:t xml:space="preserve">bootstrap SE to the SD of log ROR across permutations. Decision rule, fixed now:</w:t>
      </w:r>
      <w:r>
        <w:t xml:space="preserve"> </w:t>
      </w:r>
      <w:r>
        <w:t xml:space="preserve">- if coverage for F1 × R3 is ≥ 0.90, the percentile bootstrap interval stays primary;</w:t>
      </w:r>
      <w:r>
        <w:t xml:space="preserve"> </w:t>
      </w:r>
      <w:r>
        <w:t xml:space="preserve">- otherwise every ROR interval (and simultaneous band) is computed as</w:t>
      </w:r>
      <w:r>
        <w:t xml:space="preserve"> </w:t>
      </w:r>
      <w:r>
        <w:t xml:space="preserve">log ROR ± z × max(bootstrap SE, permutation-null SD of that cell), with the null SD</w:t>
      </w:r>
      <w:r>
        <w:t xml:space="preserve"> </w:t>
      </w:r>
      <w:r>
        <w:t xml:space="preserve">estimated by 200 permutations per cell, and the percentile interval is reported as</w:t>
      </w:r>
      <w:r>
        <w:t xml:space="preserve"> </w:t>
      </w:r>
      <w:r>
        <w:t xml:space="preserve">secondary. The equivalence verdict uses the primary interval.</w:t>
      </w:r>
    </w:p>
    <w:p>
      <w:pPr>
        <w:pStyle w:val="BodyText"/>
      </w:pPr>
      <w:r>
        <w:rPr>
          <w:i/>
          <w:iCs/>
        </w:rPr>
        <w:t xml:space="preserve">A15 result (100 permutations, B = 200).</w:t>
      </w:r>
      <w:r>
        <w:t xml:space="preserve"> </w:t>
      </w:r>
      <w:r>
        <w:t xml:space="preserve">Coverage of 1 by the percentile interval: F1 × R3</w:t>
      </w:r>
      <w:r>
        <w:t xml:space="preserve"> </w:t>
      </w:r>
      <w:r>
        <w:t xml:space="preserve">0.51, F0 × R1 0.79, F3 × R2 0.89, F6 × R3 0.91. The bootstrap distribution of log ROR is</w:t>
      </w:r>
      <w:r>
        <w:t xml:space="preserve"> </w:t>
      </w:r>
      <w:r>
        <w:t xml:space="preserve">spiky — most resamples change few of the patients who drive the contrast — so its central</w:t>
      </w:r>
      <w:r>
        <w:t xml:space="preserve"> </w:t>
      </w:r>
      <w:r>
        <w:t xml:space="preserve">95% is narrow even where its SD is not (mean bootstrap SE / null SD 0.80 for F1 × R3). The</w:t>
      </w:r>
      <w:r>
        <w:t xml:space="preserve"> </w:t>
      </w:r>
      <w:r>
        <w:t xml:space="preserve">pre-specified rule therefore applies: primary intervals are log ROR ± z × max(bootstrap SE,</w:t>
      </w:r>
      <w:r>
        <w:t xml:space="preserve"> </w:t>
      </w:r>
      <w:r>
        <w:t xml:space="preserve">permutation-null SD), with 200 permutations per cell. Under the same 100 null permutations</w:t>
      </w:r>
      <w:r>
        <w:t xml:space="preserve"> </w:t>
      </w:r>
      <w:r>
        <w:t xml:space="preserve">this interval covered 1 in 0.99, 0.99, 1.00 and 0.97 respectively (conservative). The rule</w:t>
      </w:r>
      <w:r>
        <w:t xml:space="preserve"> </w:t>
      </w:r>
      <w:r>
        <w:t xml:space="preserve">is applied to all ROR-type contrasts: the 35 F × R cells and their simultaneous bands, the</w:t>
      </w:r>
      <w:r>
        <w:t xml:space="preserve"> </w:t>
      </w:r>
      <w:r>
        <w:t xml:space="preserve">resolution effect, the dose-slope differences and the reference-variant sensitivity analyses.</w:t>
      </w:r>
    </w:p>
    <w:p>
      <w:pPr>
        <w:pStyle w:val="Heading3"/>
      </w:pPr>
      <w:bookmarkStart w:id="52" w:name="_bb67e9bfff920595360801b15e7a6c1883bfa90"/>
      <w:r>
        <w:t xml:space="preserve">Notes after unblinding</w:t>
      </w:r>
      <w:bookmarkEnd w:id="52"/>
    </w:p>
    <w:p>
      <w:pPr>
        <w:pStyle w:val="FirstParagraph"/>
      </w:pPr>
      <w:r>
        <w:rPr>
          <w:b/>
          <w:bCs/>
        </w:rPr>
        <w:t xml:space="preserve">Code hash.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tag message records the SHA-256 printed by the final</w:t>
      </w:r>
      <w:r>
        <w:t xml:space="preserve"> </w:t>
      </w:r>
      <w:r>
        <w:t xml:space="preserve">permuted dry run (12375fea…). Between that dry run and the freeze commit, only</w:t>
      </w:r>
      <w:r>
        <w:t xml:space="preserve"> </w:t>
      </w:r>
      <w:r>
        <w:rPr>
          <w:rStyle w:val="VerbatimChar"/>
        </w:rPr>
        <w:t xml:space="preserve">src/figures.py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src/tables.py</w:t>
      </w:r>
      <w:r>
        <w:t xml:space="preserve"> </w:t>
      </w:r>
      <w:r>
        <w:t xml:space="preserve">(plotting and table formatting) were edited, so the</w:t>
      </w:r>
      <w:r>
        <w:t xml:space="preserve"> </w:t>
      </w:r>
      <w:r>
        <w:t xml:space="preserve">hash of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at the tagged commit is 871bd97e…, which is the hash recorded by the real</w:t>
      </w:r>
      <w:r>
        <w:t xml:space="preserve"> </w:t>
      </w:r>
      <w:r>
        <w:t xml:space="preserve">analysis (</w:t>
      </w:r>
      <w:r>
        <w:rPr>
          <w:rStyle w:val="VerbatimChar"/>
        </w:rPr>
        <w:t xml:space="preserve">out/results_real/summary.json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diff protocol-freeze -- src/analysis.py src/models.py src/pipelines.py src/artifact.py</w:t>
      </w:r>
      <w:r>
        <w:t xml:space="preserve"> </w:t>
      </w:r>
      <w:r>
        <w:t xml:space="preserve">is empty for the real run.</w:t>
      </w:r>
    </w:p>
    <w:p>
      <w:pPr>
        <w:pStyle w:val="BodyText"/>
      </w:pPr>
      <w:r>
        <w:rPr>
          <w:b/>
          <w:bCs/>
        </w:rPr>
        <w:t xml:space="preserve">Post hoc (not pre-specified).</w:t>
      </w:r>
      <w:r>
        <w:t xml:space="preserve"> </w:t>
      </w:r>
      <w:r>
        <w:rPr>
          <w:rStyle w:val="VerbatimChar"/>
        </w:rPr>
        <w:t xml:space="preserve">src/posthoc_depth.py</w:t>
      </w:r>
      <w:r>
        <w:t xml:space="preserve"> </w:t>
      </w:r>
      <w:r>
        <w:t xml:space="preserve">adds A15-calibrated intervals for</w:t>
      </w:r>
      <w:r>
        <w:t xml:space="preserve"> </w:t>
      </w:r>
      <w:r>
        <w:t xml:space="preserve">the depth-weighted RORs (AUC and TWA below 55 and 65 mmHg, F0/F1/F3 at R3), prompted by</w:t>
      </w:r>
      <w:r>
        <w:t xml:space="preserve"> </w:t>
      </w:r>
      <w:r>
        <w:t xml:space="preserve">their point estimates in the specification curve. Reported as post hoc. The depth-metric</w:t>
      </w:r>
      <w:r>
        <w:t xml:space="preserve"> </w:t>
      </w:r>
      <w:r>
        <w:t xml:space="preserve">heatmap (Figure 3) and forest plot (Figure 6) were added after unblinding.</w:t>
      </w:r>
    </w:p>
    <w:p>
      <w:pPr>
        <w:pStyle w:val="BodyText"/>
      </w:pPr>
      <w:r>
        <w:rPr>
          <w:b/>
          <w:bCs/>
        </w:rPr>
        <w:t xml:space="preserve">Post hoc (not pre-specified).</w:t>
      </w:r>
      <w:r>
        <w:t xml:space="preserve"> </w:t>
      </w:r>
      <w:r>
        <w:rPr>
          <w:rStyle w:val="VerbatimChar"/>
        </w:rPr>
        <w:t xml:space="preserve">src/posthoc_cuff_site.py</w:t>
      </w:r>
      <w:r>
        <w:t xml:space="preserve"> </w:t>
      </w:r>
      <w:r>
        <w:t xml:space="preserve">compares the peri-cuff artefact</w:t>
      </w:r>
      <w:r>
        <w:t xml:space="preserve"> </w:t>
      </w:r>
      <w:r>
        <w:t xml:space="preserve">excess between radial and pedal/femoral catheters (an arm cuff cannot occlude the latter) and</w:t>
      </w:r>
      <w:r>
        <w:t xml:space="preserve"> </w:t>
      </w:r>
      <w:r>
        <w:t xml:space="preserve">between right and left radial catheters, prompted by the C3 result.</w:t>
      </w:r>
    </w:p>
    <w:p>
      <w:pPr>
        <w:pStyle w:val="BodyText"/>
      </w:pPr>
      <w:r>
        <w:rPr>
          <w:b/>
          <w:bCs/>
        </w:rPr>
        <w:t xml:space="preserve">Round-1 review changes (2026-10-26, after unblinding).</w:t>
      </w:r>
      <w:r>
        <w:t xml:space="preserve"> </w:t>
      </w:r>
      <w:r>
        <w:t xml:space="preserve">Three AI peer reviewers</w:t>
      </w:r>
      <w:r>
        <w:t xml:space="preserve"> </w:t>
      </w:r>
      <w:r>
        <w:t xml:space="preserve">(statistics, clinical anaesthesia, signal processing/reproducibility;</w:t>
      </w:r>
      <w:r>
        <w:t xml:space="preserve"> </w:t>
      </w:r>
      <w:r>
        <w:rPr>
          <w:rStyle w:val="VerbatimChar"/>
        </w:rPr>
        <w:t xml:space="preserve">docs/reviews/</w:t>
      </w:r>
      <w:r>
        <w:t xml:space="preserve">) led to: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Cuff timing fixed.</w:t>
      </w:r>
      <w:r>
        <w:t xml:space="preserve"> </w:t>
      </w:r>
      <w:r>
        <w:rPr>
          <w:rStyle w:val="VerbatimChar"/>
        </w:rPr>
        <w:t xml:space="preserve">n_NIBP_MBP</w:t>
      </w:r>
      <w:r>
        <w:t xml:space="preserve"> </w:t>
      </w:r>
      <w:r>
        <w:t xml:space="preserve">had been shifted by the arterial-numerics lag</w:t>
      </w:r>
      <w:r>
        <w:t xml:space="preserve"> </w:t>
      </w:r>
      <w:r>
        <w:t xml:space="preserve">(pipelines.py, figures.py). Cuff values are not delayed like the arterial numerics, so the</w:t>
      </w:r>
      <w:r>
        <w:t xml:space="preserve"> </w:t>
      </w:r>
      <w:r>
        <w:t xml:space="preserve">shift was removed. This affects only C3, V3 and Figure 2 (outcome-free). The primary</w:t>
      </w:r>
      <w:r>
        <w:t xml:space="preserve"> </w:t>
      </w:r>
      <w:r>
        <w:t xml:space="preserve">reference was re-checked after re-running</w:t>
      </w:r>
      <w:r>
        <w:t xml:space="preserve"> </w:t>
      </w:r>
      <w:r>
        <w:rPr>
          <w:rStyle w:val="VerbatimChar"/>
        </w:rPr>
        <w:t xml:space="preserve">run_all.py</w:t>
      </w:r>
      <w:r>
        <w:t xml:space="preserve">: OR_ref and OR_pipe for F1 × R3 are</w:t>
      </w:r>
      <w:r>
        <w:t xml:space="preserve"> </w:t>
      </w:r>
      <w:r>
        <w:t xml:space="preserve">identical to the frozen run (0.9403 and 0.8992).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Reference variants added (sensitivity only; primary unchanged).</w:t>
      </w:r>
      <w:r>
        <w:t xml:space="preserve"> </w:t>
      </w:r>
      <w:r>
        <w:rPr>
          <w:rStyle w:val="VerbatimChar"/>
        </w:rPr>
        <w:t xml:space="preserve">valid25_obs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valid75_obs</w:t>
      </w:r>
      <w:r>
        <w:t xml:space="preserve"> </w:t>
      </w:r>
      <w:r>
        <w:t xml:space="preserve">apply the minute-validity rule to observed valid windows only (the primary</w:t>
      </w:r>
      <w:r>
        <w:t xml:space="preserve"> </w:t>
      </w:r>
      <w:r>
        <w:t xml:space="preserve">counts bridged values as valid by design of bridging, so the original valid25/valid75</w:t>
      </w:r>
      <w:r>
        <w:t xml:space="preserve"> </w:t>
      </w:r>
      <w:r>
        <w:t xml:space="preserve">barely tested the rule).</w:t>
      </w:r>
      <w:r>
        <w:t xml:space="preserve"> </w:t>
      </w:r>
      <w:r>
        <w:rPr>
          <w:rStyle w:val="VerbatimChar"/>
        </w:rPr>
        <w:t xml:space="preserve">concord</w:t>
      </w:r>
      <w:r>
        <w:t xml:space="preserve"> </w:t>
      </w:r>
      <w:r>
        <w:t xml:space="preserve">also removes valid windows where monitor MAP and the</w:t>
      </w:r>
      <w:r>
        <w:t xml:space="preserve"> </w:t>
      </w:r>
      <w:r>
        <w:t xml:space="preserve">waveform mean differ by &gt; 10 mmHg.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Pre-specified S4 and S6 had not been run.</w:t>
      </w:r>
      <w:r>
        <w:t xml:space="preserve"> </w:t>
      </w:r>
      <w:r>
        <w:t xml:space="preserve">They were omitted from</w:t>
      </w:r>
      <w:r>
        <w:t xml:space="preserve"> </w:t>
      </w:r>
      <w:r>
        <w:rPr>
          <w:rStyle w:val="VerbatimChar"/>
        </w:rPr>
        <w:t xml:space="preserve">analysis.py</w:t>
      </w:r>
      <w:r>
        <w:t xml:space="preserve"> </w:t>
      </w:r>
      <w:r>
        <w:t xml:space="preserve">by error and</w:t>
      </w:r>
      <w:r>
        <w:t xml:space="preserve"> </w:t>
      </w:r>
      <w:r>
        <w:t xml:space="preserve">are now run in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with the A15 interval.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Post hoc analyses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src/posthoc_review.py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src/validate_v1_sweep.py</w:t>
      </w:r>
      <w:r>
        <w:t xml:space="preserve">: discordant-patient table, TOST</w:t>
      </w:r>
      <w:r>
        <w:t xml:space="preserve"> </w:t>
      </w:r>
      <w:r>
        <w:t xml:space="preserve">operating characteristics by simulation, split-sample interval coverage, department</w:t>
      </w:r>
      <w:r>
        <w:t xml:space="preserve"> </w:t>
      </w:r>
      <w:r>
        <w:t xml:space="preserve">restriction, disease-risk-score adjustment, crude-to-adjusted OR ladder, real-time episode</w:t>
      </w:r>
      <w:r>
        <w:t xml:space="preserve"> </w:t>
      </w:r>
      <w:r>
        <w:t xml:space="preserve">table, pulse oximetry during deep episodes, cuff subtype/regularity/position, rule</w:t>
      </w:r>
      <w:r>
        <w:t xml:space="preserve"> </w:t>
      </w:r>
      <w:r>
        <w:t xml:space="preserve">performance by nadir, injection sweep.</w:t>
      </w:r>
    </w:p>
    <w:p>
      <w:pPr>
        <w:pStyle w:val="BodyText"/>
      </w:pPr>
      <w:r>
        <w:rPr>
          <w:b/>
          <w:bCs/>
        </w:rPr>
        <w:t xml:space="preserve">Round-2 review changes (2026-10-26).</w:t>
      </w:r>
      <w:r>
        <w:t xml:space="preserve"> </w:t>
      </w:r>
      <w:r>
        <w:t xml:space="preserve">A coding error in the post hoc</w:t>
      </w:r>
      <w:r>
        <w:t xml:space="preserve"> </w:t>
      </w:r>
      <w:r>
        <w:t xml:space="preserve">“without duration”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posthoc_models.py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ane_dur_h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log_dur</w:t>
      </w:r>
      <w:r>
        <w:t xml:space="preserve"> </w:t>
      </w:r>
      <w:r>
        <w:t xml:space="preserve">column the model uses) was</w:t>
      </w:r>
      <w:r>
        <w:t xml:space="preserve"> </w:t>
      </w:r>
      <w:r>
        <w:t xml:space="preserve">corrected; the corrected estimate is 1.10 (0.70–1.71). The A11 rule is reported as the</w:t>
      </w:r>
      <w:r>
        <w:t xml:space="preserve"> </w:t>
      </w:r>
      <w:r>
        <w:t xml:space="preserve">single split selected by the tree search.</w:t>
      </w:r>
      <w:r>
        <w:t xml:space="preserve"> </w:t>
      </w:r>
      <w:r>
        <w:t xml:space="preserve">“Artefact”</w:t>
      </w:r>
      <w:r>
        <w:t xml:space="preserve"> </w:t>
      </w:r>
      <w:r>
        <w:t xml:space="preserve">in the text denotes waveform-flagged</w:t>
      </w:r>
      <w:r>
        <w:t xml:space="preserve"> </w:t>
      </w:r>
      <w:r>
        <w:t xml:space="preserve">values (A1). The fragility of the primary verdict to AKI among the discordant patients was</w:t>
      </w:r>
      <w:r>
        <w:t xml:space="preserve"> </w:t>
      </w:r>
      <w:r>
        <w:t xml:space="preserve">quantified post hoc (</w:t>
      </w:r>
      <w:r>
        <w:rPr>
          <w:rStyle w:val="VerbatimChar"/>
        </w:rPr>
        <w:t xml:space="preserve">src/posthoc_k.py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2026-10-28T09:19:39Z</dcterms:created>
  <dcterms:modified xsi:type="dcterms:W3CDTF">2026-10-28T09:19:39Z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