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1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26769b6a321801e740c8fa116b462a3607849"/>
      <w:r>
        <w:t xml:space="preserve">Дополнительные методы</w:t>
      </w:r>
      <w:bookmarkEnd w:id="9"/>
    </w:p>
    <w:p>
      <w:pPr>
        <w:pStyle w:val="Heading2"/>
      </w:pPr>
      <w:bookmarkStart w:id="10" w:name="_e05756ea52ac63f48b3a53bd37432b18a358669"/>
      <w:r>
        <w:t xml:space="preserve">S1. Признаки кривой артериального давления и классификатор</w:t>
      </w:r>
      <w:bookmarkEnd w:id="10"/>
    </w:p>
    <w:p>
      <w:pPr>
        <w:pStyle w:val="FirstParagraph"/>
      </w:pPr>
      <w:r>
        <w:rPr>
          <w:b/>
          <w:bCs/>
        </w:rPr>
        <w:t xml:space="preserve">Признаки.</w:t>
      </w:r>
      <w:r>
        <w:t xml:space="preserve"> </w:t>
      </w:r>
      <w:r>
        <w:t xml:space="preserve">Для каждого 2-секундного окна кривой с частотой 500 Гц мы вычисляли:</w:t>
      </w:r>
      <w:r>
        <w:t xml:space="preserve"> </w:t>
      </w:r>
      <w:r>
        <w:t xml:space="preserve">- долю конечных отсчётов;</w:t>
      </w:r>
      <w:r>
        <w:t xml:space="preserve"> </w:t>
      </w:r>
      <w:r>
        <w:t xml:space="preserve">- среднее, минимум, максимум, 2-й, 10-й, 90-й и 98-й центили;</w:t>
      </w:r>
      <w:r>
        <w:t xml:space="preserve"> </w:t>
      </w:r>
      <w:r>
        <w:t xml:space="preserve">- медиану абсолютной второй разности;</w:t>
      </w:r>
      <w:r>
        <w:t xml:space="preserve"> </w:t>
      </w:r>
      <w:r>
        <w:t xml:space="preserve">- число систолических подъёмов в окне и в центрированном 6-секундном окне.</w:t>
      </w:r>
    </w:p>
    <w:p>
      <w:pPr>
        <w:pStyle w:val="BodyText"/>
      </w:pPr>
      <w:r>
        <w:t xml:space="preserve">Систолический подъём — это повышение более чем на 8 мм рт. ст. в пределах 100 мс после сглаживания</w:t>
      </w:r>
      <w:r>
        <w:t xml:space="preserve"> </w:t>
      </w:r>
      <w:r>
        <w:t xml:space="preserve">по 20 мс; последовательные подъёмы отстоят друг от друга не менее чем на 250 мс.</w:t>
      </w:r>
    </w:p>
    <w:p>
      <w:pPr>
        <w:pStyle w:val="BodyText"/>
      </w:pPr>
      <w:r>
        <w:rPr>
          <w:b/>
          <w:bCs/>
        </w:rPr>
        <w:t xml:space="preserve">Метки.</w:t>
      </w:r>
      <w:r>
        <w:t xml:space="preserve"> </w:t>
      </w:r>
      <w:r>
        <w:t xml:space="preserve">Метки, пороговые значения и охранные окна приведены в разделе «Методы».</w:t>
      </w:r>
    </w:p>
    <w:p>
      <w:pPr>
        <w:pStyle w:val="BodyText"/>
      </w:pPr>
      <w:r>
        <w:rPr>
          <w:b/>
          <w:bCs/>
        </w:rPr>
        <w:t xml:space="preserve">Случаи без кривой артериального давления.</w:t>
      </w:r>
      <w:r>
        <w:t xml:space="preserve"> </w:t>
      </w:r>
      <w:r>
        <w:t xml:space="preserve">Из 3645 случаев с указанной записью кривой для 211</w:t>
      </w:r>
      <w:r>
        <w:t xml:space="preserve"> </w:t>
      </w:r>
      <w:r>
        <w:t xml:space="preserve">кривая не была получена через API VitalDB 26 октября 2026 г. Их идентификаторы опубликованы вместе с</w:t>
      </w:r>
      <w:r>
        <w:t xml:space="preserve"> </w:t>
      </w:r>
      <w:r>
        <w:t xml:space="preserve">кодом.</w:t>
      </w:r>
    </w:p>
    <w:p>
      <w:pPr>
        <w:pStyle w:val="BodyText"/>
      </w:pPr>
      <w:r>
        <w:rPr>
          <w:b/>
          <w:bCs/>
        </w:rPr>
        <w:t xml:space="preserve">Настройка пороговых значений.</w:t>
      </w:r>
      <w:r>
        <w:t xml:space="preserve"> </w:t>
      </w:r>
      <w:r>
        <w:t xml:space="preserve">Порог шума, правило систолического подъёма и длительность охранного</w:t>
      </w:r>
      <w:r>
        <w:t xml:space="preserve"> </w:t>
      </w:r>
      <w:r>
        <w:t xml:space="preserve">окна были установлены при просмотре описательных данных без исходов менее чем по 600 случаям в ходе</w:t>
      </w:r>
      <w:r>
        <w:t xml:space="preserve"> </w:t>
      </w:r>
      <w:r>
        <w:t xml:space="preserve">разработки. Правило, отброшенное до фиксации протокола (автокорреляция с лагом в один удар), помечало</w:t>
      </w:r>
      <w:r>
        <w:t xml:space="preserve"> </w:t>
      </w:r>
      <w:r>
        <w:t xml:space="preserve">12% окон как непульсирующие у пациентов с фибрилляцией предсердий против 1% при синусовом ритме при</w:t>
      </w:r>
      <w:r>
        <w:t xml:space="preserve"> </w:t>
      </w:r>
      <w:r>
        <w:t xml:space="preserve">пульсовом давлении 56–83 мм рт. ст.</w:t>
      </w:r>
    </w:p>
    <w:p>
      <w:pPr>
        <w:pStyle w:val="Heading2"/>
      </w:pPr>
      <w:bookmarkStart w:id="11" w:name="_1a5c609c70000a3242cbacec1defa5847bde458"/>
      <w:r>
        <w:t xml:space="preserve">S2. Интервал для отношения отношений шансов (поправка A15)</w:t>
      </w:r>
      <w:bookmarkEnd w:id="11"/>
    </w:p>
    <w:p>
      <w:pPr>
        <w:pStyle w:val="FirstParagraph"/>
      </w:pPr>
      <w:r>
        <w:rPr>
          <w:b/>
          <w:bCs/>
        </w:rPr>
        <w:t xml:space="preserve">Почему бутстреп не сработал.</w:t>
      </w:r>
      <w:r>
        <w:t xml:space="preserve"> </w:t>
      </w:r>
      <w:r>
        <w:t xml:space="preserve">Категории экспозиции при F1 × R3 и по эталону различались у</w:t>
      </w:r>
      <w:r>
        <w:t xml:space="preserve"> </w:t>
      </w:r>
      <w:r>
        <w:t xml:space="preserve">33 из 2563 пациентов. Бутстреп-выборки изменяют состав лишь немногих из этих пациентов, поэтому бутстреп-распределение</w:t>
      </w:r>
      <w:r>
        <w:t xml:space="preserve"> </w:t>
      </w:r>
      <w:r>
        <w:t xml:space="preserve">log ROR имеет пиковую форму, а его центральные 95% узки. В 100 перестановках исхода, при которых истинное</w:t>
      </w:r>
      <w:r>
        <w:t xml:space="preserve"> </w:t>
      </w:r>
      <w:r>
        <w:t xml:space="preserve">ROR равно ровно 1, процентильный интервал накрывал 1 в 51% наборов данных для F1 × R3, в 79% для</w:t>
      </w:r>
      <w:r>
        <w:t xml:space="preserve"> </w:t>
      </w:r>
      <w:r>
        <w:t xml:space="preserve">F0 × R1, в 89% для F3 × R2 и в 91% для F6 × R3.</w:t>
      </w:r>
    </w:p>
    <w:p>
      <w:pPr>
        <w:pStyle w:val="BodyText"/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До анализа реального исхода письменно зафиксированное правило задало каждый интервал</w:t>
      </w:r>
      <w:r>
        <w:t xml:space="preserve"> </w:t>
      </w:r>
      <w:r>
        <w:t xml:space="preserve">типа ROR как log ROR ± z × max(SE бутстрепа, SD перестановочного нулевого распределения). SD</w:t>
      </w:r>
      <w:r>
        <w:t xml:space="preserve"> </w:t>
      </w:r>
      <w:r>
        <w:t xml:space="preserve">перестановочного нулевого распределения получали по 200 перестановкам анализируемого исхода. Та же SE</w:t>
      </w:r>
      <w:r>
        <w:t xml:space="preserve"> </w:t>
      </w:r>
      <w:r>
        <w:t xml:space="preserve">использовалась для одновременных полос, критическое значение которых — бутстреп-максимум |z| по 35</w:t>
      </w:r>
      <w:r>
        <w:t xml:space="preserve"> </w:t>
      </w:r>
      <w:r>
        <w:t xml:space="preserve">ячейкам (3,22).</w:t>
      </w:r>
    </w:p>
    <w:p>
      <w:pPr>
        <w:pStyle w:val="BodyText"/>
      </w:pPr>
      <w:r>
        <w:rPr>
          <w:b/>
          <w:bCs/>
        </w:rPr>
        <w:t xml:space="preserve">Проверка покрытия.</w:t>
      </w:r>
      <w:r>
        <w:t xml:space="preserve"> </w:t>
      </w:r>
      <w:r>
        <w:t xml:space="preserve">SD оценивали по 200 перестановкам в пробном прогоне независимо от</w:t>
      </w:r>
      <w:r>
        <w:t xml:space="preserve"> </w:t>
      </w:r>
      <w:r>
        <w:t xml:space="preserve">100 калибровочных наборов данных. С этим SD интервал накрывал 1 в 100%, 99%, 100% и 97%</w:t>
      </w:r>
      <w:r>
        <w:t xml:space="preserve"> </w:t>
      </w:r>
      <w:r>
        <w:t xml:space="preserve">калибровочных наборов данных для четырёх пар.</w:t>
      </w:r>
    </w:p>
    <w:p>
      <w:pPr>
        <w:pStyle w:val="BodyText"/>
      </w:pPr>
      <w:r>
        <w:rPr>
          <w:b/>
          <w:bCs/>
        </w:rPr>
        <w:t xml:space="preserve">Операционные характеристики на границе.</w:t>
      </w:r>
      <w:r>
        <w:t xml:space="preserve"> </w:t>
      </w:r>
      <w:r>
        <w:t xml:space="preserve">Исходы моделировали по эталонной модели с полной</w:t>
      </w:r>
      <w:r>
        <w:t xml:space="preserve"> </w:t>
      </w:r>
      <w:r>
        <w:t xml:space="preserve">поправкой, добавляя сдвиг логарифма шансов γ у пациентов, переведённых конвейером обработки в более</w:t>
      </w:r>
      <w:r>
        <w:t xml:space="preserve"> </w:t>
      </w:r>
      <w:r>
        <w:t xml:space="preserve">высокую категорию. Мы выбрали γ = 1,91, чтобы медиана смоделированного ROR составила 1,24. В 200 наборах</w:t>
      </w:r>
      <w:r>
        <w:t xml:space="preserve"> </w:t>
      </w:r>
      <w:r>
        <w:t xml:space="preserve">данных, каждый из которых анализировали по полному правилу (200 бутстреп-выборок и 200 перестановок),</w:t>
      </w:r>
      <w:r>
        <w:t xml:space="preserve"> </w:t>
      </w:r>
      <w:r>
        <w:t xml:space="preserve">эквивалентность признавалась в 5%. Без дифференциальной ошибки (γ = 0) она признавалась в 82%, а</w:t>
      </w:r>
      <w:r>
        <w:t xml:space="preserve"> </w:t>
      </w:r>
      <w:r>
        <w:t xml:space="preserve">интервал накрывал 1 в 97%.</w:t>
      </w:r>
    </w:p>
    <w:p>
      <w:pPr>
        <w:pStyle w:val="BodyText"/>
      </w:pPr>
      <w:r>
        <w:t xml:space="preserve">Для достижения нижней границы необходимо, чтобы ОПП развилось почти у всех пяти пациентов, перешедших в</w:t>
      </w:r>
      <w:r>
        <w:t xml:space="preserve"> </w:t>
      </w:r>
      <w:r>
        <w:t xml:space="preserve">более низкую категорию. SD log ROR при смоделированной альтернативе (0,098) превышало SD при нулевой</w:t>
      </w:r>
      <w:r>
        <w:t xml:space="preserve"> </w:t>
      </w:r>
      <w:r>
        <w:t xml:space="preserve">гипотезе (0,062). В этом случае в правиле преобладает SE бутстрепа, которая растёт с числом случаев</w:t>
      </w:r>
      <w:r>
        <w:t xml:space="preserve"> </w:t>
      </w:r>
      <w:r>
        <w:t xml:space="preserve">среди пациентов с расхождением.</w:t>
      </w:r>
    </w:p>
    <w:p>
      <w:pPr>
        <w:pStyle w:val="Heading2"/>
      </w:pPr>
      <w:bookmarkStart w:id="12" w:name="_e06242c53a6b0df848ed26a32233ef47dd7e2a9"/>
      <w:r>
        <w:t xml:space="preserve">S3. Слепая оценка ИИ</w:t>
      </w:r>
      <w:bookmarkEnd w:id="12"/>
    </w:p>
    <w:p>
      <w:pPr>
        <w:pStyle w:val="FirstParagraph"/>
      </w:pPr>
      <w:r>
        <w:t xml:space="preserve">Набор для экспертной оценки из 400 фрагментов включает пять страт:</w:t>
      </w:r>
      <w:r>
        <w:t xml:space="preserve"> </w:t>
      </w:r>
      <w:r>
        <w:t xml:space="preserve">- 100 окон с низким САД, помеченных как артефакт;</w:t>
      </w:r>
      <w:r>
        <w:t xml:space="preserve"> </w:t>
      </w:r>
      <w:r>
        <w:t xml:space="preserve">- 50 окон с низким САД, помеченных только как охранное окно;</w:t>
      </w:r>
      <w:r>
        <w:t xml:space="preserve"> </w:t>
      </w:r>
      <w:r>
        <w:t xml:space="preserve">- 100 окон с низким САД, помеченных как валидные;</w:t>
      </w:r>
      <w:r>
        <w:t xml:space="preserve"> </w:t>
      </w:r>
      <w:r>
        <w:t xml:space="preserve">- 100 случайных валидных окон;</w:t>
      </w:r>
      <w:r>
        <w:t xml:space="preserve"> </w:t>
      </w:r>
      <w:r>
        <w:t xml:space="preserve">- 50 помеченных окон с САД ≥ 65 мм рт. ст.</w:t>
      </w:r>
    </w:p>
    <w:p>
      <w:pPr>
        <w:pStyle w:val="BodyText"/>
      </w:pPr>
      <w:r>
        <w:t xml:space="preserve">На одного пациента приходится не более двух фрагментов. Подмножество из 152 фрагментов было показано в</w:t>
      </w:r>
      <w:r>
        <w:t xml:space="preserve"> </w:t>
      </w:r>
      <w:r>
        <w:t xml:space="preserve">виде 26 сеток по шесть 40-секундных панелей кривой артериального давления двум независимым экземплярам</w:t>
      </w:r>
      <w:r>
        <w:t xml:space="preserve"> </w:t>
      </w:r>
      <w:r>
        <w:t xml:space="preserve">ИИ-модели (Claude, Anthropic). Сетки находились в папке, не содержавшей ключа, кода или меток. Оценщики</w:t>
      </w:r>
      <w:r>
        <w:t xml:space="preserve"> </w:t>
      </w:r>
      <w:r>
        <w:t xml:space="preserve">могли читать файлы, получили инструкцию открывать только перечисленные изображения и видели только</w:t>
      </w:r>
      <w:r>
        <w:t xml:space="preserve"> </w:t>
      </w:r>
      <w:r>
        <w:t xml:space="preserve">кривую артериального давления.</w:t>
      </w:r>
    </w:p>
    <w:p>
      <w:pPr>
        <w:pStyle w:val="BodyText"/>
      </w:pPr>
      <w:r>
        <w:t xml:space="preserve">Промпт опубликован вместе с кодом. Подмножество обогащено артефактами (43% против 3,7%</w:t>
      </w:r>
      <w:r>
        <w:t xml:space="preserve"> </w:t>
      </w:r>
      <w:r>
        <w:t xml:space="preserve">в данных), что завышает κ.</w:t>
      </w:r>
    </w:p>
    <w:p>
      <w:pPr>
        <w:pStyle w:val="Heading2"/>
      </w:pPr>
      <w:bookmarkStart w:id="13" w:name="_f8f5fa1630a2f3cb0a906de05e15422d5b48554"/>
      <w:r>
        <w:t xml:space="preserve">S4. Внесение–обнаружение</w:t>
      </w:r>
      <w:bookmarkEnd w:id="13"/>
    </w:p>
    <w:p>
      <w:pPr>
        <w:pStyle w:val="FirstParagraph"/>
      </w:pPr>
      <w:r>
        <w:t xml:space="preserve">Для проверки реализации использовали 296 чистых 2-минутных сегментов из 100 случаев. Синтетические</w:t>
      </w:r>
      <w:r>
        <w:t xml:space="preserve"> </w:t>
      </w:r>
      <w:r>
        <w:t xml:space="preserve">артефакты промывки, обнуления, забора крови, демпфирования, шума и смещения, по Li и соавт., вносили в</w:t>
      </w:r>
      <w:r>
        <w:t xml:space="preserve"> </w:t>
      </w:r>
      <w:r>
        <w:t xml:space="preserve">средние 20 с.</w:t>
      </w:r>
    </w:p>
    <w:p>
      <w:pPr>
        <w:pStyle w:val="BodyText"/>
      </w:pPr>
      <w:r>
        <w:t xml:space="preserve">В апостериорном (post hoc) переборе использовали 119 сегментов из 60 случаев. Варьировали:</w:t>
      </w:r>
      <w:r>
        <w:t xml:space="preserve"> </w:t>
      </w:r>
      <w:r>
        <w:t xml:space="preserve">- амплитуду (120–300 мм рт. ст.) и длительность (0,5–4 с) промывки;</w:t>
      </w:r>
      <w:r>
        <w:t xml:space="preserve"> </w:t>
      </w:r>
      <w:r>
        <w:t xml:space="preserve">- уровень при открытом датчике (0–25 мм рт. ст.);</w:t>
      </w:r>
      <w:r>
        <w:t xml:space="preserve"> </w:t>
      </w:r>
      <w:r>
        <w:t xml:space="preserve">- частоту среза демпфирования (1,5–10 Гц);</w:t>
      </w:r>
      <w:r>
        <w:t xml:space="preserve"> </w:t>
      </w:r>
      <w:r>
        <w:t xml:space="preserve">- частичную окклюзию (пульсовое давление, умноженное на 0,5–0,15);</w:t>
      </w:r>
      <w:r>
        <w:t xml:space="preserve"> </w:t>
      </w:r>
      <w:r>
        <w:t xml:space="preserve">- линейный дрейф (10–40 мм рт. ст. за 20 с);</w:t>
      </w:r>
      <w:r>
        <w:t xml:space="preserve"> </w:t>
      </w:r>
      <w:r>
        <w:t xml:space="preserve">- резонансные колебания 18 Гц (5–20 мм рт. ст.);</w:t>
      </w:r>
      <w:r>
        <w:t xml:space="preserve"> </w:t>
      </w:r>
      <w:r>
        <w:t xml:space="preserve">- забор крови без завершающей промывки.</w:t>
      </w:r>
    </w:p>
    <w:p>
      <w:pPr>
        <w:pStyle w:val="BodyText"/>
      </w:pPr>
      <w:r>
        <w:t xml:space="preserve">При обнаружении учитывали только метки артефактов, но не охранного окна. Чистые сегменты отбирались как</w:t>
      </w:r>
      <w:r>
        <w:t xml:space="preserve"> </w:t>
      </w:r>
      <w:r>
        <w:t xml:space="preserve">валидные классификатором, поэтому отсутствие ложных меток в сегментах без внесения выполняется по</w:t>
      </w:r>
      <w:r>
        <w:t xml:space="preserve"> </w:t>
      </w:r>
      <w:r>
        <w:t xml:space="preserve">построению.</w:t>
      </w:r>
    </w:p>
    <w:p>
      <w:pPr>
        <w:pStyle w:val="Heading2"/>
      </w:pPr>
      <w:bookmarkStart w:id="14" w:name="_c5e8e6c2db752b7c676150bb9b0868e96e9c21e"/>
      <w:r>
        <w:t xml:space="preserve">S5. Таблица эпизодов в реальном времени</w:t>
      </w:r>
      <w:bookmarkEnd w:id="14"/>
    </w:p>
    <w:p>
      <w:pPr>
        <w:pStyle w:val="FirstParagraph"/>
      </w:pPr>
      <w:r>
        <w:t xml:space="preserve">Для каждого эпизода и каждого прошедшего времени t (10, 30, 60 и 120 с) надиром к этому моменту</w:t>
      </w:r>
      <w:r>
        <w:t xml:space="preserve"> </w:t>
      </w:r>
      <w:r>
        <w:t xml:space="preserve">считали наименьшее САД монитора за первые t секунд. Эпизоды короче t при t не учитывали. Поэтому</w:t>
      </w:r>
      <w:r>
        <w:t xml:space="preserve"> </w:t>
      </w:r>
      <w:r>
        <w:t xml:space="preserve">таблица даёт вероятность того, что эпизод помечен, при условии, что он длился не менее t секунд и</w:t>
      </w:r>
      <w:r>
        <w:t xml:space="preserve"> </w:t>
      </w:r>
      <w:r>
        <w:t xml:space="preserve">достиг заданного надира.</w:t>
      </w:r>
    </w:p>
    <w:p>
      <w:pPr>
        <w:pStyle w:val="Heading1"/>
      </w:pPr>
      <w:bookmarkStart w:id="15" w:name="_6a192ab095230096d452e33d378527ac22c9cab"/>
      <w:r>
        <w:t xml:space="preserve">Дополнительные таблицы</w:t>
      </w:r>
      <w:bookmarkEnd w:id="15"/>
    </w:p>
    <w:p>
      <w:pPr>
        <w:pStyle w:val="Heading2"/>
      </w:pPr>
      <w:bookmarkStart w:id="16" w:name="_4599127c1056b80a5f4f62032266f39f5a7b907"/>
      <w:r>
        <w:t xml:space="preserve">Таблица S1. Зарегистрированные минуты с САД &lt; 65 мм рт. ст., классифицированные по сравнению с эталоном (описательная когорта)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low_min</w:t>
            </w:r>
          </w:p>
        </w:tc>
        <w:tc>
          <w:tcPr/>
          <w:p>
            <w:pPr>
              <w:pStyle w:val="Compact"/>
            </w:pPr>
            <w:r>
              <w:t xml:space="preserve">spurious_frac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confirmed_frac</w:t>
            </w:r>
          </w:p>
        </w:tc>
        <w:tc>
          <w:tcPr/>
          <w:p>
            <w:pPr>
              <w:pStyle w:val="Compact"/>
            </w:pPr>
            <w:r>
              <w:t xml:space="preserve">bridged_low_frac</w:t>
            </w:r>
          </w:p>
        </w:tc>
        <w:tc>
          <w:tcPr/>
          <w:p>
            <w:pPr>
              <w:pStyle w:val="Compact"/>
            </w:pPr>
            <w:r>
              <w:t xml:space="preserve">indeterminate_frac</w:t>
            </w:r>
          </w:p>
        </w:tc>
        <w:tc>
          <w:tcPr/>
          <w:p>
            <w:pPr>
              <w:pStyle w:val="Compact"/>
            </w:pPr>
            <w:r>
              <w:t xml:space="preserve">patients_with_spurious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6.16e+04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6.06e+04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5.84e+04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5.91e+04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6.22e+04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6.19e+04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6.13e+04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5.15e+04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5.93e+04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5.94e+04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5.88e+04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5.19e+04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low_min: минуты конвейера обработки &lt; 65; доли рассчитаны от low_min; lo/hi: 95% ДИ доли ложных минут по кластерному бутстрепу по пациентам.</w:t>
      </w:r>
    </w:p>
    <w:p>
      <w:pPr>
        <w:pStyle w:val="Heading2"/>
      </w:pPr>
      <w:bookmarkStart w:id="17" w:name="_e145224db6743a23c30bd0bc58062aa3501607f"/>
      <w:r>
        <w:t xml:space="preserve">Таблица S2. Согласие бинарной экспозиции (≥ 10 мин с САД &lt; 65) с эталоном (описательная когорта)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prev_ref</w:t>
            </w:r>
          </w:p>
        </w:tc>
        <w:tc>
          <w:tcPr/>
          <w:p>
            <w:pPr>
              <w:pStyle w:val="Compact"/>
            </w:pPr>
            <w:r>
              <w:t xml:space="preserve">prev_pipe</w:t>
            </w: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mean_diff</w:t>
            </w:r>
          </w:p>
        </w:tc>
        <w:tc>
          <w:tcPr/>
          <w:p>
            <w:pPr>
              <w:pStyle w:val="Compact"/>
            </w:pPr>
            <w:r>
              <w:t xml:space="preserve">loa_lo</w:t>
            </w:r>
          </w:p>
        </w:tc>
        <w:tc>
          <w:tcPr/>
          <w:p>
            <w:pPr>
              <w:pStyle w:val="Compact"/>
            </w:pPr>
            <w:r>
              <w:t xml:space="preserve">loa_hi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-6.257</w:t>
            </w:r>
          </w:p>
        </w:tc>
        <w:tc>
          <w:tcPr/>
          <w:p>
            <w:pPr>
              <w:pStyle w:val="Compact"/>
            </w:pPr>
            <w:r>
              <w:t xml:space="preserve">7.975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-5.920</w:t>
            </w:r>
          </w:p>
        </w:tc>
        <w:tc>
          <w:tcPr/>
          <w:p>
            <w:pPr>
              <w:pStyle w:val="Compact"/>
            </w:pPr>
            <w:r>
              <w:t xml:space="preserve">7.056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-6.755</w:t>
            </w:r>
          </w:p>
        </w:tc>
        <w:tc>
          <w:tcPr/>
          <w:p>
            <w:pPr>
              <w:pStyle w:val="Compact"/>
            </w:pPr>
            <w:r>
              <w:t xml:space="preserve">7.567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-7.270</w:t>
            </w:r>
          </w:p>
        </w:tc>
        <w:tc>
          <w:tcPr/>
          <w:p>
            <w:pPr>
              <w:pStyle w:val="Compact"/>
            </w:pPr>
            <w:r>
              <w:t xml:space="preserve">8.280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-10.472</w:t>
            </w:r>
          </w:p>
        </w:tc>
        <w:tc>
          <w:tcPr/>
          <w:p>
            <w:pPr>
              <w:pStyle w:val="Compact"/>
            </w:pPr>
            <w:r>
              <w:t xml:space="preserve">11.567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7.135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6.392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-6.309</w:t>
            </w:r>
          </w:p>
        </w:tc>
        <w:tc>
          <w:tcPr/>
          <w:p>
            <w:pPr>
              <w:pStyle w:val="Compact"/>
            </w:pPr>
            <w:r>
              <w:t xml:space="preserve">6.969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-7.039</w:t>
            </w:r>
          </w:p>
        </w:tc>
        <w:tc>
          <w:tcPr/>
          <w:p>
            <w:pPr>
              <w:pStyle w:val="Compact"/>
            </w:pPr>
            <w:r>
              <w:t xml:space="preserve">7.919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-10.309</w:t>
            </w:r>
          </w:p>
        </w:tc>
        <w:tc>
          <w:tcPr/>
          <w:p>
            <w:pPr>
              <w:pStyle w:val="Compact"/>
            </w:pPr>
            <w:r>
              <w:t xml:space="preserve">11.288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-5.764</w:t>
            </w:r>
          </w:p>
        </w:tc>
        <w:tc>
          <w:tcPr/>
          <w:p>
            <w:pPr>
              <w:pStyle w:val="Compact"/>
            </w:pPr>
            <w:r>
              <w:t xml:space="preserve">6.872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-5.389</w:t>
            </w:r>
          </w:p>
        </w:tc>
        <w:tc>
          <w:tcPr/>
          <w:p>
            <w:pPr>
              <w:pStyle w:val="Compact"/>
            </w:pPr>
            <w:r>
              <w:t xml:space="preserve">6.352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-6.270</w:t>
            </w:r>
          </w:p>
        </w:tc>
        <w:tc>
          <w:tcPr/>
          <w:p>
            <w:pPr>
              <w:pStyle w:val="Compact"/>
            </w:pPr>
            <w:r>
              <w:t xml:space="preserve">6.992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-7.003</w:t>
            </w:r>
          </w:p>
        </w:tc>
        <w:tc>
          <w:tcPr/>
          <w:p>
            <w:pPr>
              <w:pStyle w:val="Compact"/>
            </w:pPr>
            <w:r>
              <w:t xml:space="preserve">7.939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  <w:tc>
          <w:tcPr/>
          <w:p>
            <w:pPr>
              <w:pStyle w:val="Compact"/>
            </w:pPr>
            <w:r>
              <w:t xml:space="preserve">-10.193</w:t>
            </w:r>
          </w:p>
        </w:tc>
        <w:tc>
          <w:tcPr/>
          <w:p>
            <w:pPr>
              <w:pStyle w:val="Compact"/>
            </w:pPr>
            <w:r>
              <w:t xml:space="preserve">11.236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-4.023</w:t>
            </w:r>
          </w:p>
        </w:tc>
        <w:tc>
          <w:tcPr/>
          <w:p>
            <w:pPr>
              <w:pStyle w:val="Compact"/>
            </w:pPr>
            <w:r>
              <w:t xml:space="preserve">3.786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-3.688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-2.590</w:t>
            </w:r>
          </w:p>
        </w:tc>
        <w:tc>
          <w:tcPr/>
          <w:p>
            <w:pPr>
              <w:pStyle w:val="Compact"/>
            </w:pPr>
            <w:r>
              <w:t xml:space="preserve">2.958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t xml:space="preserve">-5.929</w:t>
            </w:r>
          </w:p>
        </w:tc>
        <w:tc>
          <w:tcPr/>
          <w:p>
            <w:pPr>
              <w:pStyle w:val="Compact"/>
            </w:pPr>
            <w:r>
              <w:t xml:space="preserve">6.674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-9.428</w:t>
            </w:r>
          </w:p>
        </w:tc>
        <w:tc>
          <w:tcPr/>
          <w:p>
            <w:pPr>
              <w:pStyle w:val="Compact"/>
            </w:pPr>
            <w:r>
              <w:t xml:space="preserve">10.253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-4.599</w:t>
            </w:r>
          </w:p>
        </w:tc>
        <w:tc>
          <w:tcPr/>
          <w:p>
            <w:pPr>
              <w:pStyle w:val="Compact"/>
            </w:pPr>
            <w:r>
              <w:t xml:space="preserve">5.098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-5.146</w:t>
            </w:r>
          </w:p>
        </w:tc>
        <w:tc>
          <w:tcPr/>
          <w:p>
            <w:pPr>
              <w:pStyle w:val="Compact"/>
            </w:pPr>
            <w:r>
              <w:t xml:space="preserve">6.102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6.460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-6.860</w:t>
            </w:r>
          </w:p>
        </w:tc>
        <w:tc>
          <w:tcPr/>
          <w:p>
            <w:pPr>
              <w:pStyle w:val="Compact"/>
            </w:pPr>
            <w:r>
              <w:t xml:space="preserve">7.802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-9.917</w:t>
            </w:r>
          </w:p>
        </w:tc>
        <w:tc>
          <w:tcPr/>
          <w:p>
            <w:pPr>
              <w:pStyle w:val="Compact"/>
            </w:pPr>
            <w:r>
              <w:t xml:space="preserve">10.927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-4.601</w:t>
            </w:r>
          </w:p>
        </w:tc>
        <w:tc>
          <w:tcPr/>
          <w:p>
            <w:pPr>
              <w:pStyle w:val="Compact"/>
            </w:pPr>
            <w:r>
              <w:t xml:space="preserve">5.096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-5.131</w:t>
            </w:r>
          </w:p>
        </w:tc>
        <w:tc>
          <w:tcPr/>
          <w:p>
            <w:pPr>
              <w:pStyle w:val="Compact"/>
            </w:pPr>
            <w:r>
              <w:t xml:space="preserve">5.436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-5.847</w:t>
            </w:r>
          </w:p>
        </w:tc>
        <w:tc>
          <w:tcPr/>
          <w:p>
            <w:pPr>
              <w:pStyle w:val="Compact"/>
            </w:pPr>
            <w:r>
              <w:t xml:space="preserve">6.427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-6.648</w:t>
            </w:r>
          </w:p>
        </w:tc>
        <w:tc>
          <w:tcPr/>
          <w:p>
            <w:pPr>
              <w:pStyle w:val="Compact"/>
            </w:pPr>
            <w:r>
              <w:t xml:space="preserve">6.546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-0.322</w:t>
            </w:r>
          </w:p>
        </w:tc>
        <w:tc>
          <w:tcPr/>
          <w:p>
            <w:pPr>
              <w:pStyle w:val="Compact"/>
            </w:pPr>
            <w:r>
              <w:t xml:space="preserve">-10.248</w:t>
            </w:r>
          </w:p>
        </w:tc>
        <w:tc>
          <w:tcPr/>
          <w:p>
            <w:pPr>
              <w:pStyle w:val="Compact"/>
            </w:pPr>
            <w:r>
              <w:t xml:space="preserve">9.605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-4.794</w:t>
            </w:r>
          </w:p>
        </w:tc>
        <w:tc>
          <w:tcPr/>
          <w:p>
            <w:pPr>
              <w:pStyle w:val="Compact"/>
            </w:pPr>
            <w:r>
              <w:t xml:space="preserve">4.984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-2.736</w:t>
            </w:r>
          </w:p>
        </w:tc>
        <w:tc>
          <w:tcPr/>
          <w:p>
            <w:pPr>
              <w:pStyle w:val="Compact"/>
            </w:pPr>
            <w:r>
              <w:t xml:space="preserve">-12.533</w:t>
            </w:r>
          </w:p>
        </w:tc>
        <w:tc>
          <w:tcPr/>
          <w:p>
            <w:pPr>
              <w:pStyle w:val="Compact"/>
            </w:pPr>
            <w:r>
              <w:t xml:space="preserve">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  <w:r>
              <w:t xml:space="preserve">-11.830</w:t>
            </w:r>
          </w:p>
        </w:tc>
        <w:tc>
          <w:tcPr/>
          <w:p>
            <w:pPr>
              <w:pStyle w:val="Compact"/>
            </w:pPr>
            <w:r>
              <w:t xml:space="preserve">7.961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-8.671</w:t>
            </w:r>
          </w:p>
        </w:tc>
        <w:tc>
          <w:tcPr/>
          <w:p>
            <w:pPr>
              <w:pStyle w:val="Compact"/>
            </w:pPr>
            <w:r>
              <w:t xml:space="preserve">-32.380</w:t>
            </w:r>
          </w:p>
        </w:tc>
        <w:tc>
          <w:tcPr/>
          <w:p>
            <w:pPr>
              <w:pStyle w:val="Compact"/>
            </w:pPr>
            <w:r>
              <w:t xml:space="preserve">15.038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-11.952</w:t>
            </w:r>
          </w:p>
        </w:tc>
        <w:tc>
          <w:tcPr/>
          <w:p>
            <w:pPr>
              <w:pStyle w:val="Compact"/>
            </w:pPr>
            <w:r>
              <w:t xml:space="preserve">-47.877</w:t>
            </w:r>
          </w:p>
        </w:tc>
        <w:tc>
          <w:tcPr/>
          <w:p>
            <w:pPr>
              <w:pStyle w:val="Compact"/>
            </w:pPr>
            <w:r>
              <w:t xml:space="preserve">23.973</w:t>
            </w:r>
          </w:p>
        </w:tc>
      </w:tr>
    </w:tbl>
    <w:p>
      <w:pPr>
        <w:pStyle w:val="FirstParagraph"/>
      </w:pPr>
      <w:r>
        <w:t xml:space="preserve">flips: пациенты с различающейся категорией (up: экспозиция только по конвейеру обработки). R4/R5 при фазовом сдвиге 0. mean_diff и границы согласия — в минутах ниже 65 мм рт. ст.</w:t>
      </w:r>
    </w:p>
    <w:p>
      <w:pPr>
        <w:pStyle w:val="Heading2"/>
      </w:pPr>
      <w:bookmarkStart w:id="18" w:name="_f9cc236266fe4f2de1fc2508dcb3ba410176cb7"/>
      <w:r>
        <w:t xml:space="preserve">Таблица S3. АПОСТЕРИОРНО (POST HOC): вероятность того, что эпизод помечен по кривой как артефакт, в зависимости от прошедшего времени и надира к этому моменту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всё ещё &lt; 65 мм рт. ст. через (с)</w:t>
            </w:r>
          </w:p>
        </w:tc>
        <w:tc>
          <w:tcPr/>
          <w:p>
            <w:pPr>
              <w:pStyle w:val="Compact"/>
            </w:pPr>
            <w:r>
              <w:t xml:space="preserve">nadir_so_far</w:t>
            </w:r>
          </w:p>
        </w:tc>
        <w:tc>
          <w:tcPr/>
          <w:p>
            <w:pPr>
              <w:pStyle w:val="Compact"/>
            </w:pPr>
            <w:r>
              <w:t xml:space="preserve">episodes</w:t>
            </w:r>
          </w:p>
        </w:tc>
        <w:tc>
          <w:tcPr/>
          <w:p>
            <w:pPr>
              <w:pStyle w:val="Compact"/>
            </w:pPr>
            <w:r>
              <w:t xml:space="preserve">p_flagged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Среди эпизодов, длившихся не менее указанного времени; надир к этому моменту — наименьшее САД монитора до этого момента.</w:t>
      </w:r>
    </w:p>
    <w:p>
      <w:pPr>
        <w:pStyle w:val="Heading2"/>
      </w:pPr>
      <w:bookmarkStart w:id="19" w:name="_3b2ab356a3f6585ffcb652c3c447bd6217318a4"/>
      <w:r>
        <w:t xml:space="preserve">Таблица S4. АПОСТЕРИОРНО (POST HOC): экспозиции, взвешенные по глубине, и более низкие пороговые значения (разрешение «медиана за 1 мин»)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auc55_F0xR3_total_ratio</w:t>
            </w:r>
          </w:p>
        </w:tc>
        <w:tc>
          <w:tcPr/>
          <w:p>
            <w:pPr>
              <w:pStyle w:val="Compact"/>
            </w:pPr>
            <w:r>
              <w:t xml:space="preserve">1.5926511038398004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auc55_F0xR3_excess_share</w:t>
            </w:r>
          </w:p>
        </w:tc>
        <w:tc>
          <w:tcPr/>
          <w:p>
            <w:pPr>
              <w:pStyle w:val="Compact"/>
            </w:pPr>
            <w:r>
              <w:t xml:space="preserve">0.3721160914722307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0.5633518466768042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auc55_F1xR3_total_ratio</w:t>
            </w:r>
          </w:p>
        </w:tc>
        <w:tc>
          <w:tcPr/>
          <w:p>
            <w:pPr>
              <w:pStyle w:val="Compact"/>
            </w:pPr>
            <w:r>
              <w:t xml:space="preserve">1.1474727971391918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auc55_F1xR3_excess_share</w:t>
            </w:r>
          </w:p>
        </w:tc>
        <w:tc>
          <w:tcPr/>
          <w:p>
            <w:pPr>
              <w:pStyle w:val="Compact"/>
            </w:pPr>
            <w:r>
              <w:t xml:space="preserve">0.12851964552611783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0.5537390027342186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auc55_F3xR3_total_ratio</w:t>
            </w:r>
          </w:p>
        </w:tc>
        <w:tc>
          <w:tcPr/>
          <w:p>
            <w:pPr>
              <w:pStyle w:val="Compact"/>
            </w:pPr>
            <w:r>
              <w:t xml:space="preserve">0.9909324504685909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auc55_F3xR3_excess_share</w:t>
            </w:r>
          </w:p>
        </w:tc>
        <w:tc>
          <w:tcPr/>
          <w:p>
            <w:pPr>
              <w:pStyle w:val="Compact"/>
            </w:pPr>
            <w:r>
              <w:t xml:space="preserve">-0.009150522346019763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-2.0514721232838955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auc65_F0xR3_total_ratio</w:t>
            </w:r>
          </w:p>
        </w:tc>
        <w:tc>
          <w:tcPr/>
          <w:p>
            <w:pPr>
              <w:pStyle w:val="Compact"/>
            </w:pPr>
            <w:r>
              <w:t xml:space="preserve">1.1250310833187709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auc65_F0xR3_excess_share</w:t>
            </w:r>
          </w:p>
        </w:tc>
        <w:tc>
          <w:tcPr/>
          <w:p>
            <w:pPr>
              <w:pStyle w:val="Compact"/>
            </w:pPr>
            <w:r>
              <w:t xml:space="preserve">0.11113567009183167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0.5190926964251571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auc65_F1xR3_total_ratio</w:t>
            </w:r>
          </w:p>
        </w:tc>
        <w:tc>
          <w:tcPr/>
          <w:p>
            <w:pPr>
              <w:pStyle w:val="Compact"/>
            </w:pPr>
            <w:r>
              <w:t xml:space="preserve">1.0485801543205124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auc65_F1xR3_excess_share</w:t>
            </w:r>
          </w:p>
        </w:tc>
        <w:tc>
          <w:tcPr/>
          <w:p>
            <w:pPr>
              <w:pStyle w:val="Compact"/>
            </w:pPr>
            <w:r>
              <w:t xml:space="preserve">0.04632946191127629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0.5245433707005375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auc65_F3xR3_total_ratio</w:t>
            </w:r>
          </w:p>
        </w:tc>
        <w:tc>
          <w:tcPr/>
          <w:p>
            <w:pPr>
              <w:pStyle w:val="Compact"/>
            </w:pPr>
            <w:r>
              <w:t xml:space="preserve">1.0101195139055774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auc65_F3xR3_excess_share</w:t>
            </w:r>
          </w:p>
        </w:tc>
        <w:tc>
          <w:tcPr/>
          <w:p>
            <w:pPr>
              <w:pStyle w:val="Compact"/>
            </w:pPr>
            <w:r>
              <w:t xml:space="preserve">0.01001813524664108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0.7610090577627407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binary55_F0xR3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binary55_F1xR3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binary55_F3xR3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binary60_F0xR3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binary60_F1xR3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binary60_F3xR3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— на 1 мм рт. ст.; AUC (площадь ниже порога) — на 100 мм рт. ст.·мин, с ограничением на уровне 99-го центиля эталона. excess_share: доля общей площади по конвейеру обработки, превышающая общую эталонную площадь; top1pct_share: доля этого превышения, приходящаяся на 1% пациентов с наибольшим превышением. Интервалы — как в A15.</w:t>
      </w:r>
    </w:p>
    <w:p>
      <w:pPr>
        <w:pStyle w:val="Heading2"/>
      </w:pPr>
      <w:bookmarkStart w:id="20" w:name="_b362238bfdb0ad595d5d8d0680d57d9553ba63f"/>
      <w:r>
        <w:t xml:space="preserve">Таблица S5. Анализы чувствительности основного ROR (F1 × R3)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reference=unbridged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reference=guard30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reference=pp12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reference=valid25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reference=valid75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reference=wavemean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 numerics-defined period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 + blood loss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 + number of postoperative creatinines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 AKI stage &gt;= 2 (reduced set)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missing postoperative creatinine = no AKI (pre-specified)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transplantation included (pre-specified)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gynaecology (low creatinine testing)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 risk score, 2 df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reference=concord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reference=valid25_obs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reference=valid75_obs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</w:tbl>
    <w:p>
      <w:pPr>
        <w:pStyle w:val="FirstParagraph"/>
      </w:pPr>
      <w:r>
        <w:t xml:space="preserve">Сначала приведены строки зафиксированного прогона, затем S4, S6 (заранее заданные, выполненные после раскрытия) и апостериорные (post hoc) строки. Строки без lo/hi — точечные оценки.</w:t>
      </w:r>
    </w:p>
    <w:p>
      <w:pPr>
        <w:pStyle w:val="Heading2"/>
      </w:pPr>
      <w:bookmarkStart w:id="21" w:name="_bf0f0068a8a4b58c3ca9d31e3a5c6f10af4a73a"/>
      <w:r>
        <w:t xml:space="preserve">Таблица S6. Дифференциальная ошибка классификации: ОПП в зависимости от числа ложных минут в час с поправкой на эталонную экспозицию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nonzero</w:t>
            </w:r>
          </w:p>
        </w:tc>
        <w:tc>
          <w:tcPr/>
          <w:p>
            <w:pPr>
              <w:pStyle w:val="Compact"/>
            </w:pPr>
            <w:r>
              <w:t xml:space="preserve">or_per_sd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or_per_log1p</w:t>
            </w:r>
          </w:p>
        </w:tc>
        <w:tc>
          <w:tcPr/>
          <w:p>
            <w:pPr>
              <w:pStyle w:val="Compact"/>
            </w:pPr>
            <w:r>
              <w:t xml:space="preserve">lo_u</w:t>
            </w:r>
          </w:p>
        </w:tc>
        <w:tc>
          <w:tcPr/>
          <w:p>
            <w:pPr>
              <w:pStyle w:val="Compact"/>
            </w:pPr>
            <w:r>
              <w:t xml:space="preserve">hi_u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168.000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688.000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789.000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1.85e+03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1.4e+03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1.94e+03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spurious_hyper_negative_control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term 0: log(1 + ложные мин/ч) (или его вариант для отдельной группы); c_negative_control, term 1: ложные минуты гипертензии в час; d_mechanism, terms 1–3: анализы газов крови в час, логарифм кровопотери, единицы эритроцитсодержащих компонентов. lo/hi — на одно SD; lo_u/hi_u — на единицу log(1 + мин/ч).</w:t>
      </w:r>
    </w:p>
    <w:p>
      <w:pPr>
        <w:pStyle w:val="Heading2"/>
      </w:pPr>
      <w:bookmarkStart w:id="22" w:name="_9334920b5fbf36d8e4e2ef2500e2ba1a42d13d6"/>
      <w:r>
        <w:t xml:space="preserve">Таблица S7. Пациенты с расхождением, операционные характеристики решения об эквивалентности и покрытие интервалов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aki_up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aki_down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F3xR2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F6xR3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ожидаемое число случаев ОПП среди 33 пациентов с расхождением 1,57; вероятность отсутствия случаев 0,19.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1.013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1.272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1.358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1.492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1.641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</w:tbl>
    <w:p>
      <w:pPr>
        <w:pStyle w:val="FirstParagraph"/>
      </w:pPr>
      <w:r>
        <w:t xml:space="preserve">ROR и интервал A15 при условии, что ОПП развилось бы у k из 28 пациентов, перешедших в более высокую категорию (исходы обменены с k случаями из числа пациентов без расхождения; 400 бутстреп-выборок, 200 перестановок). Согласно эталонной модели, P(k = 0) = 0,26, P(k = 1) = 0,38, P(k ≥ 2) = 0,36.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gamma_up</w:t>
            </w:r>
          </w:p>
        </w:tc>
        <w:tc>
          <w:tcPr/>
          <w:p>
            <w:pPr>
              <w:pStyle w:val="Compact"/>
            </w:pPr>
            <w:r>
              <w:t xml:space="preserve">median_ror</w:t>
            </w:r>
          </w:p>
        </w:tc>
        <w:tc>
          <w:tcPr/>
          <w:p>
            <w:pPr>
              <w:pStyle w:val="Compact"/>
            </w:pPr>
            <w:r>
              <w:t xml:space="preserve">p_equivalent</w:t>
            </w:r>
          </w:p>
        </w:tc>
        <w:tc>
          <w:tcPr/>
          <w:p>
            <w:pPr>
              <w:pStyle w:val="Compact"/>
            </w:pPr>
            <w:r>
              <w:t xml:space="preserve">coverage_of_1</w:t>
            </w:r>
          </w:p>
        </w:tc>
        <w:tc>
          <w:tcPr/>
          <w:p>
            <w:pPr>
              <w:pStyle w:val="Compact"/>
            </w:pPr>
            <w:r>
              <w:t xml:space="preserve">sd_lror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upper_margin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Исходы смоделированы по эталонной модели с полной поправкой; дифференциальная ошибка добавлена как сдвиг логарифма шансов γ у пациентов, перешедших в более высокую категорию. Каждый набор данных анализировали по правилу A15 (200 бутстреп-выборок, 200 перестановок). Медиана ROR в зависимости от γ: up0.0: 0,99, up1.0: 1,08, up2.0: 1,27, up3.0: 1,52, up4.0: 1,89, down2.0: 0,95, down4.0: 0,86, down8.0: 0,78. Покрытие 1 при независимых перестановках (SD из пробного прогона, 100 калибровочных наборов данных): F1xR3 1,00, F0xR1 0,99, F3xR2 1,00, F6xR3 0,97.</w:t>
      </w:r>
    </w:p>
    <w:p>
      <w:pPr>
        <w:pStyle w:val="Heading2"/>
      </w:pPr>
      <w:bookmarkStart w:id="23" w:name="_fee191f90e71920cdd2ae47219cb916b3c21e59"/>
      <w:r>
        <w:t xml:space="preserve">Таблица S8. Перебор параметров внесения–обнаружения (апостериорно (post hoc))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any_artefact</w:t>
            </w:r>
          </w:p>
        </w:tc>
        <w:tc>
          <w:tcPr/>
          <w:p>
            <w:pPr>
              <w:pStyle w:val="Compact"/>
            </w:pPr>
            <w:r>
              <w:t xml:space="preserve">frac_artefact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any_artefact: доля внесений, при которых хотя бы одно окно во внесённых 20 с помечено как артефакт (ноль/высокие значения/отсутствие пульсации/шум; охранное окно не учитывалось); 119 чистых 2-минутных сегментов из 60 случаев.</w:t>
      </w:r>
    </w:p>
    <w:p>
      <w:pPr>
        <w:pStyle w:val="Heading2"/>
      </w:pPr>
      <w:bookmarkStart w:id="24" w:name="_fbf632dfd53bb9cfa33be3de87b43dc7940b226"/>
      <w:r>
        <w:t xml:space="preserve">Таблица S9. Слепая оценка ИИ 152 фрагментов (вторичный анализ)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n_rated</w:t>
            </w:r>
          </w:p>
        </w:tc>
        <w:tc>
          <w:tcPr/>
          <w:p>
            <w:pPr>
              <w:pStyle w:val="Compact"/>
            </w:pPr>
            <w:r>
              <w:t xml:space="preserve">152.000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131.000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artefact_share_in_subset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alg_artefact_rated_artefact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alg_valid_rated_artefact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alg_valid_n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alg_valid_low_strata_n</w:t>
            </w:r>
          </w:p>
        </w:tc>
        <w:tc>
          <w:tcPr/>
          <w:p>
            <w:pPr>
              <w:pStyle w:val="Compact"/>
            </w:pPr>
            <w:r>
              <w:t xml:space="preserve">36.000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guard_n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guard_rated_artefact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</w:t>
            </w:r>
          </w:p>
        </w:tc>
        <w:tc>
          <w:tcPr/>
          <w:p>
            <w:pPr>
              <w:pStyle w:val="Compact"/>
            </w:pPr>
            <w:r>
              <w:t xml:space="preserve">2.000</w:t>
            </w:r>
          </w:p>
        </w:tc>
      </w:tr>
    </w:tbl>
    <w:p>
      <w:pPr>
        <w:pStyle w:val="Heading2"/>
      </w:pPr>
      <w:bookmarkStart w:id="25" w:name="_01d1008d06f21e3fd92274a23aa494d34391c47"/>
      <w:r>
        <w:t xml:space="preserve">Таблица S10. Внутрибольничная летальность (поисковый анализ, сокращённый набор поправочных переменных)</w:t>
      </w:r>
      <w:bookmarkEnd w:id="25"/>
    </w:p>
    <w:p>
      <w:pPr>
        <w:pStyle w:val="FirstParagraph"/>
      </w:pPr>
      <w:r>
        <w:t xml:space="preserve">n = 2962, умерших = 26; ОШ по эталону 1,50 (0,69–3,27); ОШ F1 × R3 1,47 (0,68–3,20); ROR 0,98.</w:t>
      </w:r>
    </w:p>
    <w:p>
      <w:pPr>
        <w:pStyle w:val="Heading2"/>
      </w:pPr>
      <w:bookmarkStart w:id="26" w:name="_f39342d8fae8a944d89ecf8470fb36a2393b905"/>
      <w:r>
        <w:t xml:space="preserve">Таблица S11. ОШ ОПП в зависимости от уровня поправки (набор для анализа ОПП, медиана за 1 мин)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  <w:tc>
          <w:tcPr/>
          <w:p>
            <w:pPr>
              <w:pStyle w:val="Compact"/>
            </w:pPr>
            <w:r>
              <w:t xml:space="preserve">odds_ratio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full_set_without_duration</w:t>
            </w:r>
          </w:p>
        </w:tc>
        <w:tc>
          <w:tcPr/>
          <w:p>
            <w:pPr>
              <w:pStyle w:val="Compact"/>
            </w:pPr>
            <w:r>
              <w:t xml:space="preserve">1.097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1.709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reduced_set: сплайны возраста и рСКФ, ASA ≥ 3, экстренность. Интервалы Вальда по моделям с поправкой Фёрта. Включение в набор для анализа ОПП по отделениям: общая хирургия 85% из 1749, гинекология 28% из 172, торакальная хирургия 96% из 996, урология 97% из 59.</w:t>
      </w:r>
    </w:p>
    <w:p>
      <w:pPr>
        <w:pStyle w:val="Heading1"/>
      </w:pPr>
      <w:bookmarkStart w:id="27" w:name="_bb5ea490873b166758752aff915190423aa5bcc"/>
      <w:r>
        <w:t xml:space="preserve">Дополнительные рисунки</w:t>
      </w:r>
      <w:bookmarkEnd w:id="27"/>
    </w:p>
    <w:p>
      <w:pPr>
        <w:pStyle w:val="CaptionedFigure"/>
      </w:pPr>
      <w:r>
        <w:drawing>
          <wp:inline>
            <wp:extent cx="4800600" cy="5262670"/>
            <wp:effectExtent b="0" l="0" r="0" t="0"/>
            <wp:docPr descr="Рисунок S1. Отбор пациентов." title="" id="29" name="Picture"/>
            <a:graphic>
              <a:graphicData uri="http://schemas.openxmlformats.org/drawingml/2006/picture">
                <pic:pic>
                  <pic:nvPicPr>
                    <pic:cNvPr descr="figures/figS1_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26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S1. Отбор пациентов.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Рисунок S2. Кривая спецификаций: 420 вариантов обработки." title="" id="32" name="Picture"/>
            <a:graphic>
              <a:graphicData uri="http://schemas.openxmlformats.org/drawingml/2006/picture">
                <pic:pic>
                  <pic:nvPicPr>
                    <pic:cNvPr descr="figures/fig3_spec_curv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S2. Кривая спецификаций: 420 вариантов обработки.</w:t>
      </w:r>
    </w:p>
    <w:p>
      <w:pPr>
        <w:pStyle w:val="CaptionedFigure"/>
      </w:pPr>
      <w:r>
        <w:drawing>
          <wp:inline>
            <wp:extent cx="4800600" cy="2388856"/>
            <wp:effectExtent b="0" l="0" r="0" t="0"/>
            <wp:docPr descr="Рисунок S3. Вероятность того, что эпизод помечен как артефакт, по длительности и минимуму." title="" id="35" name="Picture"/>
            <a:graphic>
              <a:graphicData uri="http://schemas.openxmlformats.org/drawingml/2006/picture">
                <pic:pic>
                  <pic:nvPicPr>
                    <pic:cNvPr descr="figures/fig4_episode_prob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8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S3. Вероятность того, что эпизод помечен как артефакт, по длительности и минимуму.</w:t>
      </w:r>
    </w:p>
    <w:p>
      <w:pPr>
        <w:pStyle w:val="CaptionedFigure"/>
      </w:pPr>
      <w:r>
        <w:drawing>
          <wp:inline>
            <wp:extent cx="4800600" cy="2157622"/>
            <wp:effectExtent b="0" l="0" r="0" t="0"/>
            <wp:docPr descr="Рисунок S4. Отношение отношений шансов по фильтру, метрике и порогу (апостериорно)." title="" id="38" name="Picture"/>
            <a:graphic>
              <a:graphicData uri="http://schemas.openxmlformats.org/drawingml/2006/picture">
                <pic:pic>
                  <pic:nvPicPr>
                    <pic:cNvPr descr="figures/fig3_depth_heatma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S4. Отношение отношений шансов по фильтру, метрике и порогу (апостериорно).</w:t>
      </w:r>
    </w:p>
    <w:p>
      <w:pPr>
        <w:pStyle w:val="Heading1"/>
      </w:pPr>
      <w:bookmarkStart w:id="40" w:name="_8b44dc904fa064261484b6a10494ed8e149976c"/>
      <w:r>
        <w:t xml:space="preserve">Протокол (на английском)</w:t>
      </w:r>
      <w:bookmarkEnd w:id="40"/>
    </w:p>
    <w:p>
      <w:pPr>
        <w:pStyle w:val="Heading2"/>
      </w:pPr>
      <w:bookmarkStart w:id="41" w:name="_5510b48caca687dea325862b0ecfa57319c5c3d"/>
      <w:r>
        <w:t xml:space="preserve">Analysis protocol (frozen before any outcome analysis)</w:t>
      </w:r>
      <w:bookmarkEnd w:id="41"/>
    </w:p>
    <w:p>
      <w:pPr>
        <w:pStyle w:val="FirstParagraph"/>
      </w:pPr>
      <w:r>
        <w:rPr>
          <w:b/>
          <w:bCs/>
        </w:rPr>
        <w:t xml:space="preserve">Working title.</w:t>
      </w:r>
      <w:r>
        <w:t xml:space="preserve"> </w:t>
      </w:r>
      <w:r>
        <w:t xml:space="preserve">How much of recorded intraoperative hypotension is artefact, and how much does</w:t>
      </w:r>
      <w:r>
        <w:t xml:space="preserve"> </w:t>
      </w:r>
      <w:r>
        <w:t xml:space="preserve">it matter? A waveform-referenced multiverse analysis of arterial-line artefacts, data resolution</w:t>
      </w:r>
      <w:r>
        <w:t xml:space="preserve"> </w:t>
      </w:r>
      <w:r>
        <w:t xml:space="preserve">and the hypotension–acute kidney injury association in VitalDB.</w:t>
      </w:r>
    </w:p>
    <w:p>
      <w:pPr>
        <w:pStyle w:val="BodyText"/>
      </w:pPr>
      <w:r>
        <w:rPr>
          <w:b/>
          <w:bCs/>
        </w:rPr>
        <w:t xml:space="preserve">Status at freezing.</w:t>
      </w:r>
      <w:r>
        <w:t xml:space="preserve"> </w:t>
      </w:r>
      <w:r>
        <w:t xml:space="preserve">Window features extracted from the 500 Hz arterial waveform; artefact</w:t>
      </w:r>
      <w:r>
        <w:t xml:space="preserve"> </w:t>
      </w:r>
      <w:r>
        <w:t xml:space="preserve">classifier inspected visually on 20 snippets and descriptive artefact burden computed on ≤ 600</w:t>
      </w:r>
      <w:r>
        <w:t xml:space="preserve"> </w:t>
      </w:r>
      <w:r>
        <w:t xml:space="preserve">cases.</w:t>
      </w:r>
      <w:r>
        <w:t xml:space="preserve"> </w:t>
      </w:r>
      <w:r>
        <w:rPr>
          <w:b/>
          <w:bCs/>
        </w:rPr>
        <w:t xml:space="preserve">No association between any exposure and any outcome has been computed.</w:t>
      </w:r>
      <w:r>
        <w:t xml:space="preserve"> </w:t>
      </w:r>
      <w:r>
        <w:t xml:space="preserve">The freeze</w:t>
      </w:r>
      <w:r>
        <w:t xml:space="preserve"> </w:t>
      </w:r>
      <w:r>
        <w:t xml:space="preserve">is the git commit containing this file; any later change is recorded in the</w:t>
      </w:r>
      <w:r>
        <w:t xml:space="preserve"> </w:t>
      </w:r>
      <w:r>
        <w:t xml:space="preserve">“Amendments”</w:t>
      </w:r>
      <w:r>
        <w:t xml:space="preserve"> </w:t>
      </w:r>
      <w:r>
        <w:t xml:space="preserve">section with date and reason.</w:t>
      </w:r>
    </w:p>
    <w:p>
      <w:pPr>
        <w:pStyle w:val="BodyText"/>
      </w:pPr>
      <w:r>
        <w:t xml:space="preserve">Reporting: STROBE and RECORD. Design: retrospective cohort, secondary analysis of a</w:t>
      </w:r>
      <w:r>
        <w:t xml:space="preserve"> </w:t>
      </w:r>
      <w:r>
        <w:t xml:space="preserve">de-identified open dataset.</w:t>
      </w:r>
    </w:p>
    <w:p>
      <w:pPr>
        <w:pStyle w:val="Heading3"/>
      </w:pPr>
      <w:bookmarkStart w:id="42" w:name="_objectives"/>
      <w:r>
        <w:t xml:space="preserve">1. Objectives</w:t>
      </w:r>
      <w:bookmarkEnd w:id="4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Artefact burden of the intraoperative arterial line, by artefact type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Fraction of</w:t>
            </w:r>
            <w:r>
              <w:t xml:space="preserve"> </w:t>
            </w:r>
            <w:r>
              <w:rPr>
                <w:i/>
                <w:iCs/>
              </w:rPr>
              <w:t xml:space="preserve">recorded</w:t>
            </w:r>
            <w:r>
              <w:t xml:space="preserve"> </w:t>
            </w:r>
            <w:r>
              <w:t xml:space="preserve">hypotensive minutes that are artefact, for each processing pipeline</w:t>
            </w:r>
          </w:p>
        </w:tc>
        <w:tc>
          <w:tcPr/>
          <w:p>
            <w:pPr>
              <w:pStyle w:val="Compact"/>
            </w:pPr>
            <w:r>
              <w:t xml:space="preserve">descriptive (primary measurement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Per-patient misclassification of hypotension exposure versus the reference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How the adjusted association between hypotension and AKI changes across pipelines (multiverse / specification curve)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inferential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Differential misclassification: is artefact-attributable</w:t>
            </w:r>
            <w:r>
              <w:t xml:space="preserve"> </w:t>
            </w:r>
            <w:r>
              <w:t xml:space="preserve">“hypotension”</w:t>
            </w:r>
            <w:r>
              <w:t xml:space="preserve"> </w:t>
            </w:r>
            <w:r>
              <w:t xml:space="preserve">associated with blood-gas sampling, severity and AKI?</w:t>
            </w:r>
          </w:p>
        </w:tc>
        <w:tc>
          <w:tcPr/>
          <w:p>
            <w:pPr>
              <w:pStyle w:val="Compact"/>
            </w:pPr>
            <w:r>
              <w:t xml:space="preserve">secondary, hypothesis-driven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Probability that a low monitor MAP episode is artefact, by duration and nadir; a simple bedside rule, derived and validated on separate patients</w:t>
            </w:r>
          </w:p>
        </w:tc>
        <w:tc>
          <w:tcPr/>
          <w:p>
            <w:pPr>
              <w:pStyle w:val="Compact"/>
            </w:pPr>
            <w:r>
              <w:t xml:space="preserve">secondary, clinical</w:t>
            </w:r>
          </w:p>
        </w:tc>
      </w:tr>
    </w:tbl>
    <w:p>
      <w:pPr>
        <w:pStyle w:val="Heading3"/>
      </w:pPr>
      <w:bookmarkStart w:id="43" w:name="_1e8acc8b467a646cdf183221063166fb857011d"/>
      <w:r>
        <w:t xml:space="preserve">2. Data and cohort</w:t>
      </w:r>
      <w:bookmarkEnd w:id="43"/>
    </w:p>
    <w:p>
      <w:pPr>
        <w:pStyle w:val="FirstParagraph"/>
      </w:pPr>
      <w:r>
        <w:t xml:space="preserve">VitalDB (Seoul National University Hospital, 2016–2017; Lee HC et al., Sci Data 2022). Open,</w:t>
      </w:r>
      <w:r>
        <w:t xml:space="preserve"> </w:t>
      </w:r>
      <w:r>
        <w:t xml:space="preserve">de-identified; original collection approved by the SNUH IRB. No new ethics approval needed</w:t>
      </w:r>
      <w:r>
        <w:t xml:space="preserve"> </w:t>
      </w:r>
      <w:r>
        <w:t xml:space="preserve">(to be confirmed against the VitalDB data-use terms and stated in the paper).</w:t>
      </w:r>
    </w:p>
    <w:p>
      <w:pPr>
        <w:pStyle w:val="BodyText"/>
      </w:pPr>
      <w:r>
        <w:t xml:space="preserve">Inclusion: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 </w:t>
      </w:r>
      <w:r>
        <w:t xml:space="preserve">waveform present; age ≥ 18; general anaesthesia; ≥ 30 min of</w:t>
      </w:r>
      <w:r>
        <w:t xml:space="preserve"> </w:t>
      </w:r>
      <w:r>
        <w:t xml:space="preserve">monitoring period (definition §3).</w:t>
      </w:r>
      <w:r>
        <w:t xml:space="preserve"> </w:t>
      </w:r>
      <w:r>
        <w:t xml:space="preserve">Exclusions for the AKI analysis: missing baseline creatinine; baseline eGFR &lt; 15 (proxy for</w:t>
      </w:r>
      <w:r>
        <w:t xml:space="preserve"> </w:t>
      </w:r>
      <w:r>
        <w:t xml:space="preserve">end-stage renal disease); no creatinine within 7 days after the end of anaesthesia;</w:t>
      </w:r>
      <w:r>
        <w:t xml:space="preserve"> </w:t>
      </w:r>
      <w:r>
        <w:t xml:space="preserve">transplantation procedures (</w:t>
      </w:r>
      <w:r>
        <w:rPr>
          <w:rStyle w:val="VerbatimChar"/>
        </w:rPr>
        <w:t xml:space="preserve">optype == 'Transplantation'</w:t>
      </w:r>
      <w:r>
        <w:t xml:space="preserve">; included in sensitivity S6).</w:t>
      </w:r>
    </w:p>
    <w:p>
      <w:pPr>
        <w:pStyle w:val="Heading3"/>
      </w:pPr>
      <w:bookmarkStart w:id="44" w:name="_f79462b4711c1a8e88a1d06b56a4dbe2ad4cb20"/>
      <w:r>
        <w:t xml:space="preserve">3. Reference series (waveform-informed)</w:t>
      </w:r>
      <w:bookmarkEnd w:id="44"/>
    </w:p>
    <w:p>
      <w:pPr>
        <w:pStyle w:val="Compact"/>
        <w:numPr>
          <w:ilvl w:val="0"/>
          <w:numId w:val="1001"/>
        </w:numPr>
      </w:pPr>
      <w:r>
        <w:t xml:space="preserve">2-s windows of the 500 Hz waveform are labelled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(rules in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frozen at this commit), plus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:</w:t>
      </w:r>
      <w:r>
        <w:t xml:space="preserve"> </w:t>
      </w:r>
      <w:r>
        <w:t xml:space="preserve">windows within 10 s of any non-valid window.</w:t>
      </w:r>
    </w:p>
    <w:p>
      <w:pPr>
        <w:pStyle w:val="Compact"/>
        <w:numPr>
          <w:ilvl w:val="0"/>
          <w:numId w:val="1001"/>
        </w:numPr>
      </w:pPr>
      <w:r>
        <w:t xml:space="preserve">The monitor’s 2-s ART_MBP numerics are aligned to the waveform by a per-case lag (1–4</w:t>
      </w:r>
      <w:r>
        <w:t xml:space="preserve"> </w:t>
      </w:r>
      <w:r>
        <w:t xml:space="preserve">samples, maximum correlation on valid windows).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minute MAP</w:t>
      </w:r>
      <w:r>
        <w:t xml:space="preserve"> </w:t>
      </w:r>
      <w:r>
        <w:t xml:space="preserve">= median of the aligned monitor MAP values in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windows of the</w:t>
      </w:r>
      <w:r>
        <w:t xml:space="preserve"> </w:t>
      </w:r>
      <w:r>
        <w:t xml:space="preserve">minute, if ≥ 50% of the minute’s windows are valid; otherwise missing.</w:t>
      </w:r>
    </w:p>
    <w:p>
      <w:pPr>
        <w:pStyle w:val="Compact"/>
        <w:numPr>
          <w:ilvl w:val="0"/>
          <w:numId w:val="1001"/>
        </w:numPr>
      </w:pPr>
      <w:r>
        <w:t xml:space="preserve">Rationale: the reference differs from the monitor stream only by removal of</w:t>
      </w:r>
      <w:r>
        <w:t xml:space="preserve"> </w:t>
      </w:r>
      <w:r>
        <w:t xml:space="preserve">waveform-detected artefact, so calibration differences between the monitor and the ADC do</w:t>
      </w:r>
      <w:r>
        <w:t xml:space="preserve"> </w:t>
      </w:r>
      <w:r>
        <w:t xml:space="preserve">not enter the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 period</w:t>
      </w:r>
      <w:r>
        <w:t xml:space="preserve"> </w:t>
      </w:r>
      <w:r>
        <w:t xml:space="preserve">= from the first to the last run of ≥ 60 s of valid windows within</w:t>
      </w:r>
      <w:r>
        <w:t xml:space="preserve"> </w:t>
      </w:r>
      <w:r>
        <w:t xml:space="preserve">anaesthesia (anestart–aneend). All pipelines use the same period.</w:t>
      </w:r>
    </w:p>
    <w:p>
      <w:pPr>
        <w:pStyle w:val="Heading3"/>
      </w:pPr>
      <w:bookmarkStart w:id="45" w:name="_b0c1487f73ce0cc2ab95f09f3e8ff7a8fc4377c"/>
      <w:r>
        <w:t xml:space="preserve">4. Pipelines (the multiverse)</w:t>
      </w:r>
      <w:bookmarkEnd w:id="45"/>
    </w:p>
    <w:p>
      <w:pPr>
        <w:pStyle w:val="FirstParagraph"/>
      </w:pPr>
      <w:r>
        <w:t xml:space="preserve">Pipelines use</w:t>
      </w:r>
      <w:r>
        <w:t xml:space="preserve"> </w:t>
      </w:r>
      <w:r>
        <w:rPr>
          <w:b/>
          <w:bCs/>
        </w:rPr>
        <w:t xml:space="preserve">only the monitor numerics</w:t>
      </w:r>
      <w:r>
        <w:t xml:space="preserve"> </w:t>
      </w:r>
      <w:r>
        <w:t xml:space="preserve">(MAP, SBP, DBP), as a retrospective study would.</w:t>
      </w:r>
    </w:p>
    <w:p>
      <w:pPr>
        <w:pStyle w:val="BodyText"/>
      </w:pPr>
      <w:r>
        <w:rPr>
          <w:b/>
          <w:bCs/>
        </w:rPr>
        <w:t xml:space="preserve">Filter</w:t>
      </w:r>
      <w:r>
        <w:t xml:space="preserve"> </w:t>
      </w:r>
      <w:r>
        <w:t xml:space="preserve">(applied to 2-s numerics; F5 and F6 after sampling, see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drop MAP &lt; 20 or &gt; 250</w:t>
            </w:r>
          </w:p>
        </w:tc>
        <w:tc>
          <w:tcPr/>
          <w:p>
            <w:pPr>
              <w:pStyle w:val="Compact"/>
            </w:pPr>
            <w:r>
              <w:t xml:space="preserve">Lee 2026 (VitalDB AKI)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drop MAP &lt; 30 or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drop SBP &gt; 250, DBP &lt; 15, MAP &lt; 35 or &gt; 150, SBP−DBP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drop MAP &lt; 20 or &gt; 200, SBP &gt; 300 or &lt; 20, SBP ≤ DBP, SBP−DBP &lt; 5, DBP &lt; 5</w:t>
            </w:r>
          </w:p>
        </w:tc>
        <w:tc>
          <w:tcPr/>
          <w:p>
            <w:pPr>
              <w:pStyle w:val="Compact"/>
            </w:pPr>
            <w:r>
              <w:t xml:space="preserve">physiological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drop values differing from both neighbours by &gt; 30 mmHg</w:t>
            </w:r>
          </w:p>
        </w:tc>
        <w:tc>
          <w:tcPr/>
          <w:p>
            <w:pPr>
              <w:pStyle w:val="Compact"/>
            </w:pPr>
            <w:r>
              <w:t xml:space="preserve">neighbour comparison (Du 2019 style)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+ 7-point running median on the minute grid</w:t>
            </w:r>
          </w:p>
        </w:tc>
        <w:tc>
          <w:tcPr/>
          <w:p>
            <w:pPr>
              <w:pStyle w:val="Compact"/>
            </w:pPr>
            <w:r>
              <w:t xml:space="preserve">median filter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Resolution:</w:t>
      </w:r>
      <w:r>
        <w:t xml:space="preserve"> </w:t>
      </w:r>
      <w:r>
        <w:t xml:space="preserve">R1 2-s (all values; minutes = count × 2 s / 60); R2 1-min instantaneous</w:t>
      </w:r>
      <w:r>
        <w:t xml:space="preserve"> </w:t>
      </w:r>
      <w:r>
        <w:t xml:space="preserve">(value at the minute mark); R3 1-min median; R4 5-min instantaneous, held; R5 15-min</w:t>
      </w:r>
      <w:r>
        <w:t xml:space="preserve"> </w:t>
      </w:r>
      <w:r>
        <w:t xml:space="preserve">instantaneous, held.</w:t>
      </w:r>
    </w:p>
    <w:p>
      <w:pPr>
        <w:pStyle w:val="BodyText"/>
      </w:pPr>
      <w:r>
        <w:rPr>
          <w:b/>
          <w:bCs/>
        </w:rPr>
        <w:t xml:space="preserve">Metric:</w:t>
      </w:r>
      <w:r>
        <w:t xml:space="preserve"> </w:t>
      </w:r>
      <w:r>
        <w:t xml:space="preserve">cumulative minutes &lt; T; area under T (mmHg·min); time-weighted average below T</w:t>
      </w:r>
      <w:r>
        <w:t xml:space="preserve"> </w:t>
      </w:r>
      <w:r>
        <w:t xml:space="preserve">(AUC / monitored minutes); binary</w:t>
      </w:r>
      <w:r>
        <w:t xml:space="preserve"> </w:t>
      </w:r>
      <w:r>
        <w:t xml:space="preserve">“≥ 10 cumulative minutes &lt; T”</w:t>
      </w:r>
      <w:r>
        <w:t xml:space="preserve">.</w:t>
      </w:r>
      <w:r>
        <w:t xml:space="preserve"> </w:t>
      </w:r>
      <w:r>
        <w:rPr>
          <w:b/>
          <w:bCs/>
        </w:rPr>
        <w:t xml:space="preserve">Threshold:</w:t>
      </w:r>
      <w:r>
        <w:t xml:space="preserve"> </w:t>
      </w:r>
      <w:r>
        <w:t xml:space="preserve">T in {55, 60, 65} mmHg.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pipeline specifications</w:t>
      </w:r>
      <w:r>
        <w:t xml:space="preserve">, each compared with the reference computed</w:t>
      </w:r>
      <w:r>
        <w:t xml:space="preserve"> </w:t>
      </w:r>
      <w:r>
        <w:t xml:space="preserve">with the same metric and threshold (12 reference specifications).</w:t>
      </w:r>
    </w:p>
    <w:p>
      <w:pPr>
        <w:pStyle w:val="Heading3"/>
      </w:pPr>
      <w:bookmarkStart w:id="46" w:name="_d0e31ed76e4f7466e48243f58758980adbae8f6"/>
      <w:r>
        <w:t xml:space="preserve">5. Outcomes and covariates</w:t>
      </w:r>
      <w:bookmarkEnd w:id="46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AKI by KDIGO creatinine criteria within 7 days (≥ 0.3 mg/dL within 48 h, or</w:t>
      </w:r>
      <w:r>
        <w:t xml:space="preserve"> </w:t>
      </w:r>
      <w:r>
        <w:t xml:space="preserve">≥ 1.5× baseline within 7 days). Baseline = last creatinine within 30 days before induction,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Urine output not available postoperatively.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AKI stage ≥ 2; in-hospital death.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Adjustment set (fixed):</w:t>
      </w:r>
      <w:r>
        <w:t xml:space="preserve"> </w:t>
      </w:r>
      <w:r>
        <w:t xml:space="preserve">age, sex, BMI, ASA ≥ 3, emergency, baseline eGFR (CKD-EPI</w:t>
      </w:r>
      <w:r>
        <w:t xml:space="preserve"> </w:t>
      </w:r>
      <w:r>
        <w:t xml:space="preserve">2021), hypertension, diabetes, preoperative haemoglobin, preoperative albumin, department,</w:t>
      </w:r>
      <w:r>
        <w:t xml:space="preserve"> </w:t>
      </w:r>
      <w:r>
        <w:t xml:space="preserve">surgical approach, log anaesthesia duration. Missing covariates: median (continuous) or</w:t>
      </w:r>
      <w:r>
        <w:t xml:space="preserve"> </w:t>
      </w:r>
      <w:r>
        <w:t xml:space="preserve">mode (categorical) imputation with a missingness indicator if &gt; 5% missing.</w:t>
      </w:r>
      <w:r>
        <w:t xml:space="preserve"> </w:t>
      </w:r>
      <w:r>
        <w:t xml:space="preserve">Intraoperative vasopressors, fluids and blood loss are not adjusted for (potential</w:t>
      </w:r>
      <w:r>
        <w:t xml:space="preserve"> </w:t>
      </w:r>
      <w:r>
        <w:t xml:space="preserve">mediators); sensitivity S5 adds blood loss.</w:t>
      </w:r>
    </w:p>
    <w:p>
      <w:pPr>
        <w:pStyle w:val="Heading3"/>
      </w:pPr>
      <w:bookmarkStart w:id="47" w:name="_d5249b3a2e3f62adee575876c26009231d87b92"/>
      <w:r>
        <w:t xml:space="preserve">6. Statistical analysis</w:t>
      </w:r>
      <w:bookmarkEnd w:id="47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Among pipeline-recorded minutes with MAP &lt; 65: proportion where the reference minute</w:t>
      </w:r>
      <w:r>
        <w:t xml:space="preserve"> </w:t>
      </w:r>
      <w:r>
        <w:t xml:space="preserve">is missing because of artefact, or ≥ 65. Reported per pipeline with patient-cluster</w:t>
      </w:r>
      <w:r>
        <w:t xml:space="preserve"> </w:t>
      </w:r>
      <w:r>
        <w:t xml:space="preserve">bootstrap 95% CI (1,000 resamples).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For the binary exposure, sensitivity, specificity and Cohen’s kappa against the</w:t>
      </w:r>
      <w:r>
        <w:t xml:space="preserve"> </w:t>
      </w:r>
      <w:r>
        <w:t xml:space="preserve">reference. For minutes &lt; 65, the median per-patient difference and Bland–Altman limits.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For each of the 432 specifications, a logistic regression of AKI on the exposure plus</w:t>
      </w:r>
      <w:r>
        <w:t xml:space="preserve"> </w:t>
      </w:r>
      <w:r>
        <w:t xml:space="preserve">the adjustment set.</w:t>
      </w:r>
    </w:p>
    <w:p>
      <w:pPr>
        <w:pStyle w:val="Compact"/>
        <w:numPr>
          <w:ilvl w:val="1"/>
          <w:numId w:val="1004"/>
        </w:numPr>
      </w:pPr>
      <w:r>
        <w:t xml:space="preserve">Units:</w:t>
      </w:r>
    </w:p>
    <w:p>
      <w:pPr>
        <w:pStyle w:val="Compact"/>
        <w:numPr>
          <w:ilvl w:val="2"/>
          <w:numId w:val="1005"/>
        </w:numPr>
      </w:pPr>
      <w:r>
        <w:t xml:space="preserve">binary: OR;</w:t>
      </w:r>
    </w:p>
    <w:p>
      <w:pPr>
        <w:pStyle w:val="Compact"/>
        <w:numPr>
          <w:ilvl w:val="2"/>
          <w:numId w:val="1005"/>
        </w:numPr>
      </w:pPr>
      <w:r>
        <w:t xml:space="preserve">minutes: per 10 min, truncated at 120 min;</w:t>
      </w:r>
    </w:p>
    <w:p>
      <w:pPr>
        <w:pStyle w:val="Compact"/>
        <w:numPr>
          <w:ilvl w:val="2"/>
          <w:numId w:val="1005"/>
        </w:numPr>
      </w:pPr>
      <w:r>
        <w:t xml:space="preserve">AUC: per 100 mmHg·min, truncated at the 99th percentile of the reference</w:t>
      </w:r>
      <w:r>
        <w:t xml:space="preserve"> </w:t>
      </w:r>
      <w:r>
        <w:t xml:space="preserve">distribution;</w:t>
      </w:r>
    </w:p>
    <w:p>
      <w:pPr>
        <w:pStyle w:val="Compact"/>
        <w:numPr>
          <w:ilvl w:val="2"/>
          <w:numId w:val="1005"/>
        </w:numPr>
      </w:pPr>
      <w:r>
        <w:t xml:space="preserve">TWA: per 1 mmHg.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estimand:</w:t>
      </w:r>
      <w:r>
        <w:t xml:space="preserve"> </w:t>
      </w:r>
      <w:r>
        <w:t xml:space="preserve">the ratio of odds ratios (ROR = OR_pipeline / OR_reference) for</w:t>
      </w:r>
      <w:r>
        <w:t xml:space="preserve"> </w:t>
      </w:r>
      <w:r>
        <w:t xml:space="preserve">the binary exposure</w:t>
      </w:r>
      <w:r>
        <w:t xml:space="preserve"> </w:t>
      </w:r>
      <w:r>
        <w:t xml:space="preserve">“≥ 10 min with MAP &lt; 65”</w:t>
      </w:r>
      <w:r>
        <w:t xml:space="preserve">, with patient-level paired bootstrap 95% CI</w:t>
      </w:r>
      <w:r>
        <w:t xml:space="preserve"> </w:t>
      </w:r>
      <w:r>
        <w:t xml:space="preserve">(1,000 resamples, the same resample for both models).</w:t>
      </w:r>
    </w:p>
    <w:p>
      <w:pPr>
        <w:pStyle w:val="Compact"/>
        <w:numPr>
          <w:ilvl w:val="1"/>
          <w:numId w:val="1004"/>
        </w:numPr>
      </w:pPr>
      <w:r>
        <w:t xml:space="preserve">Paired bootstrap for all 35 filter × resolution specifications of the primary metric.</w:t>
      </w:r>
      <w:r>
        <w:t xml:space="preserve"> </w:t>
      </w:r>
      <w:r>
        <w:t xml:space="preserve">The other specifications are reported as point estimates in a specification curve.</w:t>
      </w:r>
    </w:p>
    <w:p>
      <w:pPr>
        <w:pStyle w:val="Compact"/>
        <w:numPr>
          <w:ilvl w:val="1"/>
          <w:numId w:val="1004"/>
        </w:numPr>
      </w:pPr>
      <w:r>
        <w:t xml:space="preserve">Fragility summaries: range and IQR of ORs; proportion of specifications whose 95% CI</w:t>
      </w:r>
      <w:r>
        <w:t xml:space="preserve"> </w:t>
      </w:r>
      <w:r>
        <w:t xml:space="preserve">excludes 1; the number of specifications that change the qualitative conclusion.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Artefact-attributable minutes = minutes &lt; 65 (F1, R3) − reference minutes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Spearman correlation with the number of intraoperative arterial blood gases (VitalDB</w:t>
      </w:r>
      <w:r>
        <w:t xml:space="preserve"> </w:t>
      </w:r>
      <w:r>
        <w:t xml:space="preserve">labs with a pH result during anaesthesia) and with ASA.</w:t>
      </w:r>
    </w:p>
    <w:p>
      <w:pPr>
        <w:pStyle w:val="Compact"/>
        <w:numPr>
          <w:ilvl w:val="1"/>
          <w:numId w:val="1006"/>
        </w:numPr>
      </w:pPr>
      <w:r>
        <w:t xml:space="preserve">(b) Logistic regression of AKI on artefact-attributable minutes, adjusted for reference</w:t>
      </w:r>
      <w:r>
        <w:t xml:space="preserve"> </w:t>
      </w:r>
      <w:r>
        <w:t xml:space="preserve">minutes and the adjustment set. Any association indicates differential</w:t>
      </w:r>
      <w:r>
        <w:t xml:space="preserve"> </w:t>
      </w:r>
      <w:r>
        <w:t xml:space="preserve">misclassification.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Episodes are contiguous runs of aligned 2-s monitor MAP &lt; 65 within the monitoring</w:t>
      </w:r>
      <w:r>
        <w:t xml:space="preserve"> </w:t>
      </w:r>
      <w:r>
        <w:t xml:space="preserve">period.</w:t>
      </w:r>
    </w:p>
    <w:p>
      <w:pPr>
        <w:pStyle w:val="Compact"/>
        <w:numPr>
          <w:ilvl w:val="1"/>
          <w:numId w:val="1008"/>
        </w:numPr>
      </w:pPr>
      <w:r>
        <w:t xml:space="preserve">An episode is</w:t>
      </w:r>
      <w:r>
        <w:t xml:space="preserve"> </w:t>
      </w:r>
      <w:r>
        <w:rPr>
          <w:b/>
          <w:bCs/>
        </w:rPr>
        <w:t xml:space="preserve">artefactual</w:t>
      </w:r>
      <w:r>
        <w:t xml:space="preserve"> </w:t>
      </w:r>
      <w:r>
        <w:t xml:space="preserve">if ≥ 50% of its windows are non-valid (any label other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P(artefact) is tabulated by duration (≤ 10 s, 10–30 s, 30–60 s, 1–2 min, 2–5 min, &gt; 5 min)</w:t>
      </w:r>
      <w:r>
        <w:t xml:space="preserve"> </w:t>
      </w:r>
      <w:r>
        <w:t xml:space="preserve">× nadir (&lt; 20, 20–39, 40–54, 55–64), with Wilson CIs.</w:t>
      </w:r>
    </w:p>
    <w:p>
      <w:pPr>
        <w:pStyle w:val="Compact"/>
        <w:numPr>
          <w:ilvl w:val="1"/>
          <w:numId w:val="1008"/>
        </w:numPr>
      </w:pPr>
      <w:r>
        <w:t xml:space="preserve">A simple rule is derived on a 50% patient split (hash of caseid) and validated on the</w:t>
      </w:r>
      <w:r>
        <w:t xml:space="preserve"> </w:t>
      </w:r>
      <w:r>
        <w:t xml:space="preserve">other 50%. The rule uses only features visible at the bedside: duration, nadir, and the</w:t>
      </w:r>
      <w:r>
        <w:t xml:space="preserve"> </w:t>
      </w:r>
      <w:r>
        <w:t xml:space="preserve">maximum MAP in the preceding 30 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Mortality</w:t>
      </w:r>
      <w:r>
        <w:t xml:space="preserve"> </w:t>
      </w:r>
      <w:r>
        <w:t xml:space="preserve">(few events, about 40): Firth-penalised logistic regression adjusted for age,</w:t>
      </w:r>
      <w:r>
        <w:t xml:space="preserve"> </w:t>
      </w:r>
      <w:r>
        <w:t xml:space="preserve">ASA ≥ 3, emergency and eGFR. Reported descriptively with the specification spread only.</w:t>
      </w:r>
    </w:p>
    <w:p>
      <w:pPr>
        <w:pStyle w:val="Heading3"/>
      </w:pPr>
      <w:bookmarkStart w:id="48" w:name="_b7c414db0948550673b8c1b9053b05e643ffd4a"/>
      <w:r>
        <w:t xml:space="preserve">7. Validation of the reference</w:t>
      </w:r>
      <w:bookmarkEnd w:id="48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 injection–recovery:</w:t>
      </w:r>
    </w:p>
    <w:p>
      <w:pPr>
        <w:pStyle w:val="Compact"/>
        <w:numPr>
          <w:ilvl w:val="1"/>
          <w:numId w:val="1010"/>
        </w:numPr>
      </w:pPr>
      <w:r>
        <w:t xml:space="preserve">Clean 2-min segments from 100 randomly selected cases.</w:t>
      </w:r>
    </w:p>
    <w:p>
      <w:pPr>
        <w:pStyle w:val="Compact"/>
        <w:numPr>
          <w:ilvl w:val="1"/>
          <w:numId w:val="1010"/>
        </w:numPr>
      </w:pPr>
      <w:r>
        <w:t xml:space="preserve">Inject synthetic artefacts (Li, Mark &amp; Clifford 2009 types): flush square wave to</w:t>
      </w:r>
      <w:r>
        <w:t xml:space="preserve"> </w:t>
      </w:r>
      <w:r>
        <w:t xml:space="preserve">300 mmHg, zeroing (0 mmHg), sampling (flat line at line pressure, then flush), overdamping</w:t>
      </w:r>
      <w:r>
        <w:t xml:space="preserve"> </w:t>
      </w:r>
      <w:r>
        <w:t xml:space="preserve">(low-pass), high-frequency noise, and a 15 mmHg transducer offset.</w:t>
      </w:r>
    </w:p>
    <w:p>
      <w:pPr>
        <w:pStyle w:val="Compact"/>
        <w:numPr>
          <w:ilvl w:val="1"/>
          <w:numId w:val="1010"/>
        </w:numPr>
      </w:pPr>
      <w:r>
        <w:t xml:space="preserve">Report the detection sensitivity per type. Specificity is measured on uninjected clean</w:t>
      </w:r>
      <w:r>
        <w:t xml:space="preserve"> </w:t>
      </w:r>
      <w:r>
        <w:t xml:space="preserve">segments.</w:t>
      </w:r>
    </w:p>
    <w:p>
      <w:pPr>
        <w:pStyle w:val="Compact"/>
        <w:numPr>
          <w:ilvl w:val="1"/>
          <w:numId w:val="1010"/>
        </w:numPr>
      </w:pPr>
      <w:r>
        <w:t xml:space="preserve">The transducer offset is expected to be undetectable by design (limitation).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 blinded adjudication:</w:t>
      </w:r>
      <w:r>
        <w:t xml:space="preserve"> </w:t>
      </w:r>
      <w:r>
        <w:t xml:space="preserve">150 stratified random 40-s snippets, plotted without labels and</w:t>
      </w:r>
      <w:r>
        <w:t xml:space="preserve"> </w:t>
      </w:r>
      <w:r>
        <w:t xml:space="preserve">adjudicated by an independent AI reviewer agent as valid or artefact. Report kappa. The</w:t>
      </w:r>
      <w:r>
        <w:t xml:space="preserve"> </w:t>
      </w:r>
      <w:r>
        <w:t xml:space="preserve">adjudicator is not a human expert, and this is disclosed.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 physiological concordance:</w:t>
      </w:r>
      <w:r>
        <w:t xml:space="preserve"> </w:t>
      </w:r>
      <w:r>
        <w:t xml:space="preserve">|ART − NIBP| at NIBP measurement times, for valid versus</w:t>
      </w:r>
      <w:r>
        <w:t xml:space="preserve"> </w:t>
      </w:r>
      <w:r>
        <w:t xml:space="preserve">non-valid windows; agreement of the waveform HR with the monitor ECG HR.</w:t>
      </w:r>
    </w:p>
    <w:p>
      <w:pPr>
        <w:pStyle w:val="Heading3"/>
      </w:pPr>
      <w:bookmarkStart w:id="49" w:name="_d8e98346e4c2d6d788e6f96826bd986b079b2ab"/>
      <w:r>
        <w:t xml:space="preserve">8. Sensitivity analyses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guard 0 s and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pulse-pressure threshold for non-pulsatile 5 and 12 mmHg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reference minute validity threshold 25% and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missing postoperative creatinine treated as no AKI (cohort without the 7-day creatinine requirement)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add intraoperative blood loss to the adjustment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include transplantation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AKI stage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reference built on the waveform mean instead of the monitor numerics</w:t>
            </w:r>
          </w:p>
        </w:tc>
      </w:tr>
    </w:tbl>
    <w:p>
      <w:pPr>
        <w:pStyle w:val="Heading3"/>
      </w:pPr>
      <w:bookmarkStart w:id="50" w:name="_a8de16fabd2f50817b00dcab89b8c37accacdbb"/>
      <w:r>
        <w:t xml:space="preserve">9. What this study cannot show</w:t>
      </w:r>
      <w:bookmarkEnd w:id="50"/>
    </w:p>
    <w:p>
      <w:pPr>
        <w:pStyle w:val="Compact"/>
        <w:numPr>
          <w:ilvl w:val="0"/>
          <w:numId w:val="1011"/>
        </w:numPr>
      </w:pPr>
      <w:r>
        <w:t xml:space="preserve">It cannot detect artefacts that leave a normal-looking waveform, such as transducer</w:t>
      </w:r>
      <w:r>
        <w:t xml:space="preserve"> </w:t>
      </w:r>
      <w:r>
        <w:t xml:space="preserve">height errors. The reference is an improved series, not ground truth.</w:t>
      </w:r>
    </w:p>
    <w:p>
      <w:pPr>
        <w:pStyle w:val="Compact"/>
        <w:numPr>
          <w:ilvl w:val="0"/>
          <w:numId w:val="1011"/>
        </w:numPr>
      </w:pPr>
      <w:r>
        <w:t xml:space="preserve">It cannot identify the clinical response to artefacts: VitalDB records vasopressor bolus</w:t>
      </w:r>
      <w:r>
        <w:t xml:space="preserve"> </w:t>
      </w:r>
      <w:r>
        <w:t xml:space="preserve">totals only.</w:t>
      </w:r>
    </w:p>
    <w:p>
      <w:pPr>
        <w:pStyle w:val="Compact"/>
        <w:numPr>
          <w:ilvl w:val="0"/>
          <w:numId w:val="1011"/>
        </w:numPr>
      </w:pPr>
      <w:r>
        <w:t xml:space="preserve">The data come from a single centre in 2016–2017.</w:t>
      </w:r>
    </w:p>
    <w:p>
      <w:pPr>
        <w:pStyle w:val="Compact"/>
        <w:numPr>
          <w:ilvl w:val="0"/>
          <w:numId w:val="1011"/>
        </w:numPr>
      </w:pPr>
      <w:r>
        <w:t xml:space="preserve">The associations are observational.</w:t>
      </w:r>
    </w:p>
    <w:p>
      <w:pPr>
        <w:pStyle w:val="Heading3"/>
      </w:pPr>
      <w:bookmarkStart w:id="51" w:name="_24a3d6e990c9402818d980d692da9374f3448cd"/>
      <w:r>
        <w:t xml:space="preserve">Amendments (2026-10-26, before freezing, after an adversarial methods review; no outcome data examined)</w:t>
      </w:r>
      <w:bookmarkEnd w:id="51"/>
    </w:p>
    <w:p>
      <w:pPr>
        <w:pStyle w:val="FirstParagraph"/>
      </w:pPr>
      <w:r>
        <w:t xml:space="preserve">Where an amendment conflicts with the text above, the amendment governs.</w:t>
      </w:r>
    </w:p>
    <w:p>
      <w:pPr>
        <w:pStyle w:val="BodyText"/>
      </w:pPr>
      <w:r>
        <w:rPr>
          <w:b/>
          <w:bCs/>
        </w:rPr>
        <w:t xml:space="preserve">A1 (adapted) — validation without human adjudicators.</w:t>
      </w:r>
      <w:r>
        <w:t xml:space="preserve"> </w:t>
      </w:r>
      <w:r>
        <w:t xml:space="preserve">Two blinded human anaesthesiologist</w:t>
      </w:r>
      <w:r>
        <w:t xml:space="preserve"> </w:t>
      </w:r>
      <w:r>
        <w:t xml:space="preserve">adjudicators are not available for this version. Validation of the reference therefore</w:t>
      </w:r>
      <w:r>
        <w:t xml:space="preserve"> </w:t>
      </w:r>
      <w:r>
        <w:t xml:space="preserve">rests on (i) physiological concordance with independent sensors (V3, now primary),</w:t>
      </w:r>
      <w:r>
        <w:t xml:space="preserve"> </w:t>
      </w:r>
      <w:r>
        <w:t xml:space="preserve">(ii) injection–recovery (V1), and (iii) a blinded AI rater (V2, explicitly secondary and</w:t>
      </w:r>
      <w:r>
        <w:t xml:space="preserve"> </w:t>
      </w:r>
      <w:r>
        <w:t xml:space="preserve">non-decisive). Throughout the paper, minutes are called</w:t>
      </w:r>
      <w:r>
        <w:t xml:space="preserve"> </w:t>
      </w:r>
      <w:r>
        <w:rPr>
          <w:b/>
          <w:bCs/>
        </w:rPr>
        <w:t xml:space="preserve">“waveform-flagged”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unless independent evidence supports the stronger term. A stratified 400-snippet</w:t>
      </w:r>
      <w:r>
        <w:t xml:space="preserve"> </w:t>
      </w:r>
      <w:r>
        <w:t xml:space="preserve">adjudication set (strata A–D of the review: 150 monitor MAP &lt; 65 &amp; non-valid incl. 50</w:t>
      </w:r>
      <w:r>
        <w:t xml:space="preserve"> </w:t>
      </w:r>
      <w:r>
        <w:t xml:space="preserve">guard-only; 100 MAP &lt; 65 &amp; valid; 100 random valid; 50 random non-valid with MAP ≥ 65; at</w:t>
      </w:r>
      <w:r>
        <w:t xml:space="preserve"> </w:t>
      </w:r>
      <w:r>
        <w:t xml:space="preserve">most two per patient, selected by hash of subjectid) is generated and released with blank</w:t>
      </w:r>
      <w:r>
        <w:t xml:space="preserve"> </w:t>
      </w:r>
      <w:r>
        <w:t xml:space="preserve">forms, so that human adjudication can be added later.</w:t>
      </w:r>
    </w:p>
    <w:p>
      <w:pPr>
        <w:pStyle w:val="BodyText"/>
      </w:pPr>
      <w:r>
        <w:rPr>
          <w:b/>
          <w:bCs/>
        </w:rPr>
        <w:t xml:space="preserve">A2 — freeze.</w:t>
      </w:r>
      <w:r>
        <w:t xml:space="preserve"> </w:t>
      </w:r>
      <w:r>
        <w:t xml:space="preserve">The freeze is a git tag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on a commit whose code implements</w:t>
      </w:r>
      <w:r>
        <w:t xml:space="preserve"> </w:t>
      </w:r>
      <w:r>
        <w:t xml:space="preserve">§4–§6 with these amendments, passes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, and has completed an</w:t>
      </w:r>
      <w:r>
        <w:t xml:space="preserve"> </w:t>
      </w:r>
      <w:r>
        <w:t xml:space="preserve">end-to-end run with the AKI and death vectors replaced by a seeded permutation (outputs</w:t>
      </w:r>
      <w:r>
        <w:t xml:space="preserve"> </w:t>
      </w:r>
      <w:r>
        <w:t xml:space="preserve">archived in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The SHA-256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is recorded in the tag</w:t>
      </w:r>
      <w:r>
        <w:t xml:space="preserve"> </w:t>
      </w:r>
      <w:r>
        <w:t xml:space="preserve">message. An external registry (OSF) was not available; the local git history is the record.</w:t>
      </w:r>
      <w:r>
        <w:t xml:space="preserve"> </w:t>
      </w:r>
      <w:r>
        <w:t xml:space="preserve">Descriptive artefact statistics before freezing used ≤ 600 cases.</w:t>
      </w:r>
    </w:p>
    <w:p>
      <w:pPr>
        <w:pStyle w:val="BodyText"/>
      </w:pPr>
      <w:r>
        <w:rPr>
          <w:b/>
          <w:bCs/>
        </w:rPr>
        <w:t xml:space="preserve">A3 — primary estimand.</w:t>
      </w:r>
      <w:r>
        <w:t xml:space="preserve"> </w:t>
      </w:r>
      <w:r>
        <w:t xml:space="preserve">ROR = OR_P / OR_ref for</w:t>
      </w:r>
      <w:r>
        <w:t xml:space="preserve"> </w:t>
      </w:r>
      <w:r>
        <w:t xml:space="preserve">“≥ 10 cumulative minutes with MAP &lt; 65”</w:t>
      </w:r>
      <w:r>
        <w:t xml:space="preserve">,</w:t>
      </w:r>
      <w:r>
        <w:t xml:space="preserve"> </w:t>
      </w:r>
      <w:r>
        <w:t xml:space="preserve">P = F1 × R3 (MAP 20–250 range filter, 1-min median), ref = bridged reference at R3. Paired</w:t>
      </w:r>
      <w:r>
        <w:t xml:space="preserve"> </w:t>
      </w:r>
      <w:r>
        <w:t xml:space="preserve">bootstrap, 2,000 resamples of patients, percentile 95% CI. Decision rule with equivalence</w:t>
      </w:r>
      <w:r>
        <w:t xml:space="preserve"> </w:t>
      </w:r>
      <w:r>
        <w:t xml:space="preserve">margin 0.80–1.25: CI entirely within -&gt;</w:t>
      </w:r>
      <w:r>
        <w:t xml:space="preserve"> </w:t>
      </w:r>
      <w:r>
        <w:t xml:space="preserve">“artefact handling does not materially change the</w:t>
      </w:r>
      <w:r>
        <w:t xml:space="preserve"> </w:t>
      </w:r>
      <w:r>
        <w:t xml:space="preserve">association”</w:t>
      </w:r>
      <w:r>
        <w:t xml:space="preserve">; CI excludes 1 and point estimate outside the margin -&gt;</w:t>
      </w:r>
      <w:r>
        <w:t xml:space="preserve"> </w:t>
      </w:r>
      <w:r>
        <w:t xml:space="preserve">“material change”</w:t>
      </w:r>
      <w:r>
        <w:t xml:space="preserve">;</w:t>
      </w:r>
      <w:r>
        <w:t xml:space="preserve"> </w:t>
      </w:r>
      <w:r>
        <w:t xml:space="preserve">otherwise</w:t>
      </w:r>
      <w:r>
        <w:t xml:space="preserve"> </w:t>
      </w:r>
      <w:r>
        <w:t xml:space="preserve">“inconclusive”</w:t>
      </w:r>
      <w:r>
        <w:t xml:space="preserve">. Under non-differential misclassification of plausible size the ROR</w:t>
      </w:r>
      <w:r>
        <w:t xml:space="preserve"> </w:t>
      </w:r>
      <w:r>
        <w:t xml:space="preserve">is expected near 0.90–0.97, so this estimand detects differential bias large enough to</w:t>
      </w:r>
      <w:r>
        <w:t xml:space="preserve"> </w:t>
      </w:r>
      <w:r>
        <w:t xml:space="preserve">matter. Key secondaries: (a) F0 × R1 vs ref@R1; (b) per-10-min log-OR for cumulative minutes</w:t>
      </w:r>
      <w:r>
        <w:t xml:space="preserve"> </w:t>
      </w:r>
      <w:r>
        <w:t xml:space="preserve">&lt; 65, F1 × R3 vs ref@R3, difference with bootstrap CI and attenuation factor β_P/β_ref.</w:t>
      </w:r>
    </w:p>
    <w:p>
      <w:pPr>
        <w:pStyle w:val="BodyText"/>
      </w:pPr>
      <w:r>
        <w:rPr>
          <w:b/>
          <w:bCs/>
        </w:rPr>
        <w:t xml:space="preserve">A4 — gap bridging.</w:t>
      </w:r>
      <w:r>
        <w:t xml:space="preserve"> </w:t>
      </w:r>
      <w:r>
        <w:t xml:space="preserve">Runs of non-valid windows ≤ 3 min bounded by ≥ 30 s of valid windows on</w:t>
      </w:r>
      <w:r>
        <w:t xml:space="preserve"> </w:t>
      </w:r>
      <w:r>
        <w:t xml:space="preserve">both sides are linearly bridged between the median valid MAP of the 30 s before and after.</w:t>
      </w:r>
      <w:r>
        <w:t xml:space="preserve"> </w:t>
      </w:r>
      <w:r>
        <w:t xml:space="preserve">The unbridged reference is a sensitivity analysis. Each pipeline-recorded minute &lt; 65 is</w:t>
      </w:r>
      <w:r>
        <w:t xml:space="preserve"> </w:t>
      </w:r>
      <w:r>
        <w:rPr>
          <w:i/>
          <w:iCs/>
        </w:rPr>
        <w:t xml:space="preserve">spurious</w:t>
      </w:r>
      <w:r>
        <w:t xml:space="preserve"> </w:t>
      </w:r>
      <w:r>
        <w:t xml:space="preserve">(reference ≥ 65),</w:t>
      </w:r>
      <w:r>
        <w:t xml:space="preserve"> </w:t>
      </w:r>
      <w:r>
        <w:rPr>
          <w:i/>
          <w:iCs/>
        </w:rPr>
        <w:t xml:space="preserve">confirmed</w:t>
      </w:r>
      <w:r>
        <w:t xml:space="preserve"> </w:t>
      </w:r>
      <w:r>
        <w:t xml:space="preserve">(reference &lt; 65, ≥ 50% observed),</w:t>
      </w:r>
      <w:r>
        <w:t xml:space="preserve"> </w:t>
      </w:r>
      <w:r>
        <w:rPr>
          <w:i/>
          <w:iCs/>
        </w:rPr>
        <w:t xml:space="preserve">bridged-low</w:t>
      </w:r>
      <w:r>
        <w:t xml:space="preserve"> </w:t>
      </w:r>
      <w:r>
        <w:t xml:space="preserve">(reference &lt; 65, &lt; 50% observed) or</w:t>
      </w:r>
      <w:r>
        <w:t xml:space="preserve"> </w:t>
      </w:r>
      <w:r>
        <w:rPr>
          <w:i/>
          <w:iCs/>
        </w:rPr>
        <w:t xml:space="preserve">indeterminate</w:t>
      </w:r>
      <w:r>
        <w:t xml:space="preserve"> </w:t>
      </w:r>
      <w:r>
        <w:t xml:space="preserve">(reference missing). Primary O2 quantity</w:t>
      </w:r>
      <w:r>
        <w:t xml:space="preserve"> </w:t>
      </w:r>
      <w:r>
        <w:t xml:space="preserve">= spurious / all recorded minutes &lt; 65, reported with indeterminate / all; indeterminate</w:t>
      </w:r>
      <w:r>
        <w:t xml:space="preserve"> </w:t>
      </w:r>
      <w:r>
        <w:t xml:space="preserve">minutes are never counted as artefact.</w:t>
      </w:r>
    </w:p>
    <w:p>
      <w:pPr>
        <w:pStyle w:val="BodyText"/>
      </w:pPr>
      <w:r>
        <w:rPr>
          <w:b/>
          <w:bCs/>
        </w:rPr>
        <w:t xml:space="preserve">A5 — missing waveform.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is not an artefact and creates no guard. Minutes with</w:t>
      </w:r>
      <w:r>
        <w:t xml:space="preserve"> </w:t>
      </w:r>
      <w:r>
        <w:t xml:space="preserve">&gt; 50%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windows are excluded from every pipeline and the reference (common support).</w:t>
      </w:r>
    </w:p>
    <w:p>
      <w:pPr>
        <w:pStyle w:val="BodyText"/>
      </w:pPr>
      <w:r>
        <w:rPr>
          <w:b/>
          <w:bCs/>
        </w:rPr>
        <w:t xml:space="preserve">A6 — patients.</w:t>
      </w:r>
      <w:r>
        <w:t xml:space="preserve"> </w:t>
      </w:r>
      <w:r>
        <w:t xml:space="preserve">Unit = patient (</w:t>
      </w:r>
      <w:r>
        <w:rPr>
          <w:rStyle w:val="VerbatimChar"/>
        </w:rPr>
        <w:t xml:space="preserve">subjectid</w:t>
      </w:r>
      <w:r>
        <w:t xml:space="preserve">); first eligible case per patient (lowest</w:t>
      </w:r>
      <w:r>
        <w:t xml:space="preserve"> </w:t>
      </w:r>
      <w:r>
        <w:t xml:space="preserve">caseid). Bootstrap and the O6 split are by patient.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Spearman of spurious minutes per monitored hour with arterial blood gases per</w:t>
      </w:r>
      <w:r>
        <w:t xml:space="preserve"> </w:t>
      </w:r>
      <w:r>
        <w:t xml:space="preserve">hour and ASA. (b) Firth logistic regression of AKI on log1p(spurious minutes/h), adjusted for</w:t>
      </w:r>
      <w:r>
        <w:t xml:space="preserve"> </w:t>
      </w:r>
      <w:r>
        <w:t xml:space="preserve">reference minutes &lt; 65 (linear + restricted cubic spline), log monitored hours and the §5 set;</w:t>
      </w:r>
      <w:r>
        <w:t xml:space="preserve"> </w:t>
      </w:r>
      <w:r>
        <w:t xml:space="preserve">separately for minutes dominated by zero/high labels (g1) and non-pulsatile/noise labels (g2).</w:t>
      </w:r>
      <w:r>
        <w:t xml:space="preserve"> </w:t>
      </w:r>
      <w:r>
        <w:t xml:space="preserve">(c) Negative-control exposure: spurious hypertensive minutes (pipeline MAP &gt; 120 with</w:t>
      </w:r>
      <w:r>
        <w:t xml:space="preserve"> </w:t>
      </w:r>
      <w:r>
        <w:t xml:space="preserve">reference ≤ 100), in the same model. (d) Mechanism model adding blood gases per hour,</w:t>
      </w:r>
      <w:r>
        <w:t xml:space="preserve"> </w:t>
      </w:r>
      <w:r>
        <w:t xml:space="preserve">log1p(blood loss) and red-cell units.</w:t>
      </w:r>
    </w:p>
    <w:p>
      <w:pPr>
        <w:pStyle w:val="BodyText"/>
      </w:pPr>
      <w:r>
        <w:rPr>
          <w:b/>
          <w:bCs/>
        </w:rPr>
        <w:t xml:space="preserve">A8 — resolution.</w:t>
      </w:r>
      <w:r>
        <w:t xml:space="preserve"> </w:t>
      </w:r>
      <w:r>
        <w:t xml:space="preserve">The reference is sampled at every resolution and each pipeline is</w:t>
      </w:r>
      <w:r>
        <w:t xml:space="preserve"> </w:t>
      </w:r>
      <w:r>
        <w:t xml:space="preserve">compared with ref@R; the resolution effect is OR(ref@R)/OR(ref@R3). R4 uses all 5 phase</w:t>
      </w:r>
      <w:r>
        <w:t xml:space="preserve"> </w:t>
      </w:r>
      <w:r>
        <w:t xml:space="preserve">offsets and R5 offsets 0, 3, 6, 9, 12 min; log-ORs are averaged over offsets within each</w:t>
      </w:r>
      <w:r>
        <w:t xml:space="preserve"> </w:t>
      </w:r>
      <w:r>
        <w:t xml:space="preserve">bootstrap resample. A charted value is the first non-missing 2-s value in its interval. F5</w:t>
      </w:r>
      <w:r>
        <w:t xml:space="preserve"> </w:t>
      </w:r>
      <w:r>
        <w:t xml:space="preserve">and F6 are applied after sampling on the pipeline’s own grid (F6 = 7-point running median).</w:t>
      </w:r>
      <w:r>
        <w:t xml:space="preserve"> </w:t>
      </w:r>
      <w:r>
        <w:t xml:space="preserve">S10: each pipeline uses a numerics-defined monitoring period (first to last 60-s run of</w:t>
      </w:r>
      <w:r>
        <w:t xml:space="preserve"> </w:t>
      </w:r>
      <w:r>
        <w:t xml:space="preserve">monitor MAP 40–150 within anaesthesia), as a retrospective study would.</w:t>
      </w:r>
    </w:p>
    <w:p>
      <w:pPr>
        <w:pStyle w:val="BodyText"/>
      </w:pPr>
      <w:r>
        <w:rPr>
          <w:b/>
          <w:bCs/>
        </w:rPr>
        <w:t xml:space="preserve">A9 — classifier calibration (descriptive data only).</w:t>
      </w:r>
      <w:r>
        <w:t xml:space="preserve"> </w:t>
      </w:r>
      <w:r>
        <w:t xml:space="preserve">Noise = waveform minimum &lt; −10 mmHg or</w:t>
      </w:r>
      <w:r>
        <w:t xml:space="preserve"> </w:t>
      </w:r>
      <w:r>
        <w:t xml:space="preserve">median |second difference| ≥ 4 mmHg (the single-spike slope rule is dropped). Guard is</w:t>
      </w:r>
      <w:r>
        <w:t xml:space="preserve"> </w:t>
      </w:r>
      <w:r>
        <w:t xml:space="preserve">asymmetric: 2 s before and 8 s after each artefact run (95th centile of monitor recovery</w:t>
      </w:r>
      <w:r>
        <w:t xml:space="preserve"> </w:t>
      </w:r>
      <w:r>
        <w:t xml:space="preserve">time after zero/high/non-pulsatile runs = 8 s; 99th = 16 s). Sensitivity S1 uses 0/0 s and</w:t>
      </w:r>
      <w:r>
        <w:t xml:space="preserve"> </w:t>
      </w:r>
      <w:r>
        <w:t xml:space="preserve">6/30 s.</w:t>
      </w:r>
    </w:p>
    <w:p>
      <w:pPr>
        <w:pStyle w:val="BodyText"/>
      </w:pPr>
      <w:r>
        <w:rPr>
          <w:b/>
          <w:bCs/>
        </w:rPr>
        <w:t xml:space="preserve">A10 — physiological checks (V3, now primary validation).</w:t>
      </w:r>
      <w:r>
        <w:t xml:space="preserve"> </w:t>
      </w:r>
      <w:r>
        <w:t xml:space="preserve">(i) For monitor MAP &lt; 65</w:t>
      </w:r>
      <w:r>
        <w:t xml:space="preserve"> </w:t>
      </w:r>
      <w:r>
        <w:t xml:space="preserve">episodes with an NIBP reading within ±3 min: proportion with NIBP MAP ≥ 70, by episode class;</w:t>
      </w:r>
      <w:r>
        <w:t xml:space="preserve"> </w:t>
      </w:r>
      <w:r>
        <w:t xml:space="preserve">(ii) for non-pulsatile windows: proportion with concurrent ECG HR 40–150 and pleth HR 40–150;</w:t>
      </w:r>
      <w:r>
        <w:t xml:space="preserve"> </w:t>
      </w:r>
      <w:r>
        <w:t xml:space="preserve">(iii) non-pulsatile fraction in patients with preoperative atrial fibrillation versus sinus</w:t>
      </w:r>
      <w:r>
        <w:t xml:space="preserve"> </w:t>
      </w:r>
      <w:r>
        <w:t xml:space="preserve">rhythm. V1 specificity is reported as the flag rate outside the injected stretch.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Probability that a monitor-numerics low-MAP episode is waveform-flagged, for</w:t>
      </w:r>
      <w:r>
        <w:t xml:space="preserve"> </w:t>
      </w:r>
      <w:r>
        <w:t xml:space="preserve">retrospective cleaning and automated systems (not bedside use). Episode classes: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(≥ 50% artefact labels),</w:t>
      </w:r>
      <w:r>
        <w:t xml:space="preserve"> </w:t>
      </w:r>
      <w:r>
        <w:rPr>
          <w:i/>
          <w:iCs/>
        </w:rPr>
        <w:t xml:space="preserve">guard-dominated</w:t>
      </w:r>
      <w:r>
        <w:t xml:space="preserve"> </w:t>
      </w:r>
      <w:r>
        <w:t xml:space="preserve">(artefact + guard ≥ 50%, artefact &lt; 50%),</w:t>
      </w:r>
      <w:r>
        <w:t xml:space="preserve"> </w:t>
      </w:r>
      <w:r>
        <w:rPr>
          <w:i/>
          <w:iCs/>
        </w:rPr>
        <w:t xml:space="preserve">physiological</w:t>
      </w:r>
      <w:r>
        <w:t xml:space="preserve"> </w:t>
      </w:r>
      <w:r>
        <w:t xml:space="preserve">(otherwise). Patient-cluster bootstrap CIs. Rule: depth-≤ 2 tree on duration,</w:t>
      </w:r>
      <w:r>
        <w:t xml:space="preserve"> </w:t>
      </w:r>
      <w:r>
        <w:t xml:space="preserve">nadir and maximum MAP in the preceding 30 s, derived on a 50% patient-hash split with leaves</w:t>
      </w:r>
      <w:r>
        <w:t xml:space="preserve"> </w:t>
      </w:r>
      <w:r>
        <w:t xml:space="preserve">called</w:t>
      </w:r>
      <w:r>
        <w:t xml:space="preserve"> </w:t>
      </w:r>
      <w:r>
        <w:t xml:space="preserve">“flagged”</w:t>
      </w:r>
      <w:r>
        <w:t xml:space="preserve"> </w:t>
      </w:r>
      <w:r>
        <w:t xml:space="preserve">only at ≥ 90% specificity; validated on the other half (sensitivity,</w:t>
      </w:r>
      <w:r>
        <w:t xml:space="preserve"> </w:t>
      </w:r>
      <w:r>
        <w:t xml:space="preserve">specificity, PPV with cluster CIs).</w:t>
      </w:r>
    </w:p>
    <w:p>
      <w:pPr>
        <w:pStyle w:val="BodyText"/>
      </w:pPr>
      <w:r>
        <w:rPr>
          <w:b/>
          <w:bCs/>
        </w:rPr>
        <w:t xml:space="preserve">A12 — models.</w:t>
      </w:r>
      <w:r>
        <w:t xml:space="preserve"> </w:t>
      </w:r>
      <w:r>
        <w:t xml:space="preserve">Age and eGFR as restricted cubic splines (3 knots). Firth-penalised</w:t>
      </w:r>
      <w:r>
        <w:t xml:space="preserve"> </w:t>
      </w:r>
      <w:r>
        <w:t xml:space="preserve">likelihood for all models; failures counted. Simultaneous 95% bands (bootstrap max-|z|) for</w:t>
      </w:r>
      <w:r>
        <w:t xml:space="preserve"> </w:t>
      </w:r>
      <w:r>
        <w:t xml:space="preserve">the 35 F × R RORs. One analysis set for all specifications. S7 and mortality use a reduced</w:t>
      </w:r>
      <w:r>
        <w:t xml:space="preserve"> </w:t>
      </w:r>
      <w:r>
        <w:t xml:space="preserve">set (age and eGFR splines, ASA ≥ 3, emergency). Mortality: one pre-specified specification</w:t>
      </w:r>
      <w:r>
        <w:t xml:space="preserve"> </w:t>
      </w:r>
      <w:r>
        <w:t xml:space="preserve">(primary P vs ref) in the descriptive cohort, exploratory, no specification curve. S11 adds</w:t>
      </w:r>
      <w:r>
        <w:t xml:space="preserve"> </w:t>
      </w:r>
      <w:r>
        <w:t xml:space="preserve">the number of postoperative creatinine measurements. Precision check before unblinding by</w:t>
      </w:r>
      <w:r>
        <w:t xml:space="preserve"> </w:t>
      </w:r>
      <w:r>
        <w:t xml:space="preserve">simulation with assumed (not estimated) covariate effects and OR_ref = 1.5; if the expected</w:t>
      </w:r>
      <w:r>
        <w:t xml:space="preserve"> </w:t>
      </w:r>
      <w:r>
        <w:t xml:space="preserve">95% CI half-width of log ROR exceeds 0.22, the equivalence conclusion is declared</w:t>
      </w:r>
      <w:r>
        <w:t xml:space="preserve"> </w:t>
      </w:r>
      <w:r>
        <w:t xml:space="preserve">unattainable in advance.</w:t>
      </w:r>
    </w:p>
    <w:p>
      <w:pPr>
        <w:pStyle w:val="BodyText"/>
      </w:pPr>
      <w:r>
        <w:rPr>
          <w:b/>
          <w:bCs/>
        </w:rPr>
        <w:t xml:space="preserve">Cohorts.</w:t>
      </w:r>
      <w:r>
        <w:t xml:space="preserve"> </w:t>
      </w:r>
      <w:r>
        <w:rPr>
          <w:i/>
          <w:iCs/>
        </w:rPr>
        <w:t xml:space="preserve">Descriptive cohort</w:t>
      </w:r>
      <w:r>
        <w:t xml:space="preserve"> </w:t>
      </w:r>
      <w:r>
        <w:t xml:space="preserve">(O1–O3, O6, V3, mortality): adults, general anaesthesia,</w:t>
      </w:r>
      <w:r>
        <w:t xml:space="preserve"> </w:t>
      </w:r>
      <w:r>
        <w:t xml:space="preserve">≥ 30 min reference-valid monitoring, first case per patient.</w:t>
      </w:r>
      <w:r>
        <w:t xml:space="preserve"> </w:t>
      </w:r>
      <w:r>
        <w:rPr>
          <w:i/>
          <w:iCs/>
        </w:rPr>
        <w:t xml:space="preserve">AKI analysis set</w:t>
      </w:r>
      <w:r>
        <w:t xml:space="preserve"> </w:t>
      </w:r>
      <w:r>
        <w:t xml:space="preserve">(O4, O5,</w:t>
      </w:r>
      <w:r>
        <w:t xml:space="preserve"> </w:t>
      </w:r>
      <w:r>
        <w:t xml:space="preserve">S-analyses): additionally excludes transplantation, missing baseline creatinine, eGFR &lt; 15,</w:t>
      </w:r>
      <w:r>
        <w:t xml:space="preserve"> </w:t>
      </w:r>
      <w:r>
        <w:t xml:space="preserve">and no creatinine within 7 days.</w:t>
      </w:r>
    </w:p>
    <w:p>
      <w:pPr>
        <w:pStyle w:val="BodyText"/>
      </w:pPr>
      <w:r>
        <w:rPr>
          <w:b/>
          <w:bCs/>
        </w:rPr>
        <w:t xml:space="preserve">A13 — classifier v2 (before freezing; no outcome data examined).</w:t>
      </w:r>
      <w:r>
        <w:t xml:space="preserve"> </w:t>
      </w:r>
      <w:r>
        <w:t xml:space="preserve">The beat-lag</w:t>
      </w:r>
      <w:r>
        <w:t xml:space="preserve"> </w:t>
      </w:r>
      <w:r>
        <w:t xml:space="preserve">autocorrelation pulsatility criterion was dropped: in descriptive data it labelled 12% of</w:t>
      </w:r>
      <w:r>
        <w:t xml:space="preserve"> </w:t>
      </w:r>
      <w:r>
        <w:t xml:space="preserve">windows in patients with preoperative atrial fibrillation as non-pulsatile (1% in sinus</w:t>
      </w:r>
      <w:r>
        <w:t xml:space="preserve"> </w:t>
      </w:r>
      <w:r>
        <w:t xml:space="preserve">rhythm), and those windows had pulse pressures of 56–83 mmHg; it also fired on bigeminy and</w:t>
      </w:r>
      <w:r>
        <w:t xml:space="preserve"> </w:t>
      </w:r>
      <w:r>
        <w:t xml:space="preserve">slow heart rates. It was replaced by: pulse pressure &lt; 8 mmHg, OR interdecile range &lt; 3 mmHg,</w:t>
      </w:r>
      <w:r>
        <w:t xml:space="preserve"> </w:t>
      </w:r>
      <w:r>
        <w:t xml:space="preserve">OR no systolic upstroke (rise &gt; 8 mmHg within 100 ms) in the centred 6-s window. The noise</w:t>
      </w:r>
      <w:r>
        <w:t xml:space="preserve"> </w:t>
      </w:r>
      <w:r>
        <w:t xml:space="preserve">rule became minimum &lt; −10 mmHg OR median absolute second difference ≥ 4 mmHg (the earlier</w:t>
      </w:r>
      <w:r>
        <w:t xml:space="preserve"> </w:t>
      </w:r>
      <w:r>
        <w:t xml:space="preserve">rule fired on single spikes). Guard is asymmetric: 2 s before and 8 s after an artefact run</w:t>
      </w:r>
      <w:r>
        <w:t xml:space="preserve"> </w:t>
      </w:r>
      <w:r>
        <w:t xml:space="preserve">(95th centile of monitor recovery). All 3,645 waveform cases were re-extracted with these</w:t>
      </w:r>
      <w:r>
        <w:t xml:space="preserve"> </w:t>
      </w:r>
      <w:r>
        <w:t xml:space="preserve">features; 211 had a waveform track listed but not retrievable and are excluded as</w:t>
      </w:r>
      <w:r>
        <w:t xml:space="preserve"> </w:t>
      </w:r>
      <w:r>
        <w:t xml:space="preserve">“waveform</w:t>
      </w:r>
      <w:r>
        <w:t xml:space="preserve"> </w:t>
      </w:r>
      <w:r>
        <w:t xml:space="preserve">not retrievable”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A14 — O5 power and Firth iterations (before freezing; only the permuted outcome examined).</w:t>
      </w:r>
      <w:r>
        <w:t xml:space="preserve"> </w:t>
      </w:r>
      <w:r>
        <w:t xml:space="preserve">In the permuted dry run, spurious minutes at F1 × R3 were non-zero in 241 of 2,563 patients</w:t>
      </w:r>
      <w:r>
        <w:t xml:space="preserve"> </w:t>
      </w:r>
      <w:r>
        <w:t xml:space="preserve">(zero/flush-dominated in 19), which cannot carry the differential-misclassification test.</w:t>
      </w:r>
      <w:r>
        <w:t xml:space="preserve"> </w:t>
      </w:r>
      <w:r>
        <w:t xml:space="preserve">O5 is therefore run twice: at F1 × R3 as pre-specified, and at F0 × R1 (raw 2-s stream;</w:t>
      </w:r>
      <w:r>
        <w:t xml:space="preserve"> </w:t>
      </w:r>
      <w:r>
        <w:t xml:space="preserve">non-zero in 1,728 patients), with odds ratios also reported per standard deviation of the</w:t>
      </w:r>
      <w:r>
        <w:t xml:space="preserve"> </w:t>
      </w:r>
      <w:r>
        <w:t xml:space="preserve">exposure. The F0 × R1 version is the one interpreted. The Firth iteration limit was raised</w:t>
      </w:r>
      <w:r>
        <w:t xml:space="preserve"> </w:t>
      </w:r>
      <w:r>
        <w:t xml:space="preserve">from 50 to 200: in the dry run 1.7% of bootstrap fits stopped at 50 iterations short of the</w:t>
      </w:r>
      <w:r>
        <w:t xml:space="preserve"> </w:t>
      </w:r>
      <w:r>
        <w:t xml:space="preserve">1e−7 tolerance, and refitting them changed the estimate only in the eighth decimal.</w:t>
      </w:r>
    </w:p>
    <w:p>
      <w:pPr>
        <w:pStyle w:val="BodyText"/>
      </w:pPr>
      <w:r>
        <w:rPr>
          <w:b/>
          <w:bCs/>
        </w:rPr>
        <w:t xml:space="preserve">A15 — null calibration of the ROR interval (written before the calibration result was</w:t>
      </w:r>
      <w:r>
        <w:rPr>
          <w:b/>
          <w:bCs/>
        </w:rPr>
        <w:t xml:space="preserve"> </w:t>
      </w:r>
      <w:r>
        <w:rPr>
          <w:b/>
          <w:bCs/>
        </w:rPr>
        <w:t xml:space="preserve">seen; real outcome never examined).</w:t>
      </w:r>
      <w:r>
        <w:t xml:space="preserve"> </w:t>
      </w:r>
      <w:r>
        <w:t xml:space="preserve">In the dry run several RORs had percentile intervals</w:t>
      </w:r>
      <w:r>
        <w:t xml:space="preserve"> </w:t>
      </w:r>
      <w:r>
        <w:t xml:space="preserve">excluding 1 although the permuted outcome makes the true ROR exactly 1, because the contrast</w:t>
      </w:r>
      <w:r>
        <w:t xml:space="preserve"> </w:t>
      </w:r>
      <w:r>
        <w:t xml:space="preserve">rests on the few dozen patients whose exposure category differs.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re-permutes the outcome 100 times and, for F1 × R3, F0 × R1, F3 × R2 and F6 × R3, records how</w:t>
      </w:r>
      <w:r>
        <w:t xml:space="preserve"> </w:t>
      </w:r>
      <w:r>
        <w:t xml:space="preserve">often the paired-bootstrap 95% interval (B = 200) covers 1, and the ratio of the mean</w:t>
      </w:r>
      <w:r>
        <w:t xml:space="preserve"> </w:t>
      </w:r>
      <w:r>
        <w:t xml:space="preserve">bootstrap SE to the SD of log ROR across permutations. Decision rule, fixed now:</w:t>
      </w:r>
      <w:r>
        <w:t xml:space="preserve"> </w:t>
      </w:r>
      <w:r>
        <w:t xml:space="preserve">- if coverage for F1 × R3 is ≥ 0.90, the percentile bootstrap interval stays primary;</w:t>
      </w:r>
      <w:r>
        <w:t xml:space="preserve"> </w:t>
      </w:r>
      <w:r>
        <w:t xml:space="preserve">- otherwise every ROR interval (and simultaneous band) is computed as</w:t>
      </w:r>
      <w:r>
        <w:t xml:space="preserve"> </w:t>
      </w:r>
      <w:r>
        <w:t xml:space="preserve">log ROR ± z × max(bootstrap SE, permutation-null SD of that cell), with the null SD</w:t>
      </w:r>
      <w:r>
        <w:t xml:space="preserve"> </w:t>
      </w:r>
      <w:r>
        <w:t xml:space="preserve">estimated by 200 permutations per cell, and the percentile interval is reported as</w:t>
      </w:r>
      <w:r>
        <w:t xml:space="preserve"> </w:t>
      </w:r>
      <w:r>
        <w:t xml:space="preserve">secondary. The equivalence verdict uses the primary interval.</w:t>
      </w:r>
    </w:p>
    <w:p>
      <w:pPr>
        <w:pStyle w:val="BodyText"/>
      </w:pPr>
      <w:r>
        <w:rPr>
          <w:i/>
          <w:iCs/>
        </w:rPr>
        <w:t xml:space="preserve">A15 result (100 permutations, B = 200).</w:t>
      </w:r>
      <w:r>
        <w:t xml:space="preserve"> </w:t>
      </w:r>
      <w:r>
        <w:t xml:space="preserve">Coverage of 1 by the percentile interval: F1 × R3</w:t>
      </w:r>
      <w:r>
        <w:t xml:space="preserve"> </w:t>
      </w:r>
      <w:r>
        <w:t xml:space="preserve">0.51, F0 × R1 0.79, F3 × R2 0.89, F6 × R3 0.91. The bootstrap distribution of log ROR is</w:t>
      </w:r>
      <w:r>
        <w:t xml:space="preserve"> </w:t>
      </w:r>
      <w:r>
        <w:t xml:space="preserve">spiky — most resamples change few of the patients who drive the contrast — so its central</w:t>
      </w:r>
      <w:r>
        <w:t xml:space="preserve"> </w:t>
      </w:r>
      <w:r>
        <w:t xml:space="preserve">95% is narrow even where its SD is not (mean bootstrap SE / null SD 0.80 for F1 × R3). The</w:t>
      </w:r>
      <w:r>
        <w:t xml:space="preserve"> </w:t>
      </w:r>
      <w:r>
        <w:t xml:space="preserve">pre-specified rule therefore applies: primary intervals are log ROR ± z × max(bootstrap SE,</w:t>
      </w:r>
      <w:r>
        <w:t xml:space="preserve"> </w:t>
      </w:r>
      <w:r>
        <w:t xml:space="preserve">permutation-null SD), with 200 permutations per cell. Under the same 100 null permutations</w:t>
      </w:r>
      <w:r>
        <w:t xml:space="preserve"> </w:t>
      </w:r>
      <w:r>
        <w:t xml:space="preserve">this interval covered 1 in 0.99, 0.99, 1.00 and 0.97 respectively (conservative). The rule</w:t>
      </w:r>
      <w:r>
        <w:t xml:space="preserve"> </w:t>
      </w:r>
      <w:r>
        <w:t xml:space="preserve">is applied to all ROR-type contrasts: the 35 F × R cells and their simultaneous bands, the</w:t>
      </w:r>
      <w:r>
        <w:t xml:space="preserve"> </w:t>
      </w:r>
      <w:r>
        <w:t xml:space="preserve">resolution effect, the dose-slope differences and the reference-variant sensitivity analyses.</w:t>
      </w:r>
    </w:p>
    <w:p>
      <w:pPr>
        <w:pStyle w:val="Heading3"/>
      </w:pPr>
      <w:bookmarkStart w:id="52" w:name="_bb67e9bfff920595360801b15e7a6c1883bfa90"/>
      <w:r>
        <w:t xml:space="preserve">Notes after unblinding</w:t>
      </w:r>
      <w:bookmarkEnd w:id="52"/>
    </w:p>
    <w:p>
      <w:pPr>
        <w:pStyle w:val="FirstParagraph"/>
      </w:pPr>
      <w:r>
        <w:rPr>
          <w:b/>
          <w:bCs/>
        </w:rPr>
        <w:t xml:space="preserve">Code hash.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tag message records the SHA-256 printed by the final</w:t>
      </w:r>
      <w:r>
        <w:t xml:space="preserve"> </w:t>
      </w:r>
      <w:r>
        <w:t xml:space="preserve">permuted dry run (12375fea…). Between that dry run and the freeze commit, only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(plotting and table formatting) were edited, so the</w:t>
      </w:r>
      <w:r>
        <w:t xml:space="preserve"> </w:t>
      </w:r>
      <w:r>
        <w:t xml:space="preserve">hash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at the tagged commit is 871bd97e…, which is the hash recorded by the real</w:t>
      </w:r>
      <w:r>
        <w:t xml:space="preserve"> </w:t>
      </w:r>
      <w:r>
        <w:t xml:space="preserve">analysis (</w:t>
      </w:r>
      <w:r>
        <w:rPr>
          <w:rStyle w:val="VerbatimChar"/>
        </w:rPr>
        <w:t xml:space="preserve">out/results_real/summary.json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is empty for the real run.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adds A15-calibrated intervals for</w:t>
      </w:r>
      <w:r>
        <w:t xml:space="preserve"> </w:t>
      </w:r>
      <w:r>
        <w:t xml:space="preserve">the depth-weighted RORs (AUC and TWA below 55 and 65 mmHg, F0/F1/F3 at R3), prompted by</w:t>
      </w:r>
      <w:r>
        <w:t xml:space="preserve"> </w:t>
      </w:r>
      <w:r>
        <w:t xml:space="preserve">their point estimates in the specification curve. Reported as post hoc. The depth-metric</w:t>
      </w:r>
      <w:r>
        <w:t xml:space="preserve"> </w:t>
      </w:r>
      <w:r>
        <w:t xml:space="preserve">heatmap (Figure 3) and forest plot (Figure 6) were added after unblinding.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compares the peri-cuff artefact</w:t>
      </w:r>
      <w:r>
        <w:t xml:space="preserve"> </w:t>
      </w:r>
      <w:r>
        <w:t xml:space="preserve">excess between radial and pedal/femoral catheters (an arm cuff cannot occlude the latter) and</w:t>
      </w:r>
      <w:r>
        <w:t xml:space="preserve"> </w:t>
      </w:r>
      <w:r>
        <w:t xml:space="preserve">between right and left radial catheters, prompted by the C3 result.</w:t>
      </w:r>
    </w:p>
    <w:p>
      <w:pPr>
        <w:pStyle w:val="BodyText"/>
      </w:pPr>
      <w:r>
        <w:rPr>
          <w:b/>
          <w:bCs/>
        </w:rPr>
        <w:t xml:space="preserve">Round-1 review changes (2026-10-26, after unblinding).</w:t>
      </w:r>
      <w:r>
        <w:t xml:space="preserve"> </w:t>
      </w:r>
      <w:r>
        <w:t xml:space="preserve">Three AI peer reviewers</w:t>
      </w:r>
      <w:r>
        <w:t xml:space="preserve"> </w:t>
      </w:r>
      <w:r>
        <w:t xml:space="preserve">(statistics, clinical anaesthesia, signal processing/reproducibility;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led to: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Cuff timing fixed.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had been shifted by the arterial-numerics lag</w:t>
      </w:r>
      <w:r>
        <w:t xml:space="preserve"> </w:t>
      </w:r>
      <w:r>
        <w:t xml:space="preserve">(pipelines.py, figures.py). Cuff values are not delayed like the arterial numerics, so the</w:t>
      </w:r>
      <w:r>
        <w:t xml:space="preserve"> </w:t>
      </w:r>
      <w:r>
        <w:t xml:space="preserve">shift was removed. This affects only C3, V3 and Figure 2 (outcome-free). The primary</w:t>
      </w:r>
      <w:r>
        <w:t xml:space="preserve"> </w:t>
      </w:r>
      <w:r>
        <w:t xml:space="preserve">reference was re-checked after re-running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OR_ref and OR_pipe for F1 × R3 are</w:t>
      </w:r>
      <w:r>
        <w:t xml:space="preserve"> </w:t>
      </w:r>
      <w:r>
        <w:t xml:space="preserve">identical to the frozen run (0.9403 and 0.8992).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Reference variants added (sensitivity only; primary unchanged).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apply the minute-validity rule to observed valid windows only (the primary</w:t>
      </w:r>
      <w:r>
        <w:t xml:space="preserve"> </w:t>
      </w:r>
      <w:r>
        <w:t xml:space="preserve">counts bridged values as valid by design of bridging, so the original valid25/valid75</w:t>
      </w:r>
      <w:r>
        <w:t xml:space="preserve"> </w:t>
      </w:r>
      <w:r>
        <w:t xml:space="preserve">barely tested the rule).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also removes valid windows where monitor MAP and the</w:t>
      </w:r>
      <w:r>
        <w:t xml:space="preserve"> </w:t>
      </w:r>
      <w:r>
        <w:t xml:space="preserve">waveform mean differ by &gt; 10 mmHg.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Pre-specified S4 and S6 had not been run.</w:t>
      </w:r>
      <w:r>
        <w:t xml:space="preserve"> </w:t>
      </w:r>
      <w:r>
        <w:t xml:space="preserve">They were omitted from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by error and</w:t>
      </w:r>
      <w:r>
        <w:t xml:space="preserve"> </w:t>
      </w:r>
      <w:r>
        <w:t xml:space="preserve">are now run in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with the A15 interval.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 hoc analyses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discordant-patient table, TOST</w:t>
      </w:r>
      <w:r>
        <w:t xml:space="preserve"> </w:t>
      </w:r>
      <w:r>
        <w:t xml:space="preserve">operating characteristics by simulation, split-sample interval coverage, department</w:t>
      </w:r>
      <w:r>
        <w:t xml:space="preserve"> </w:t>
      </w:r>
      <w:r>
        <w:t xml:space="preserve">restriction, disease-risk-score adjustment, crude-to-adjusted OR ladder, real-time episode</w:t>
      </w:r>
      <w:r>
        <w:t xml:space="preserve"> </w:t>
      </w:r>
      <w:r>
        <w:t xml:space="preserve">table, pulse oximetry during deep episodes, cuff subtype/regularity/position, rule</w:t>
      </w:r>
      <w:r>
        <w:t xml:space="preserve"> </w:t>
      </w:r>
      <w:r>
        <w:t xml:space="preserve">performance by nadir, injection sweep.</w:t>
      </w:r>
    </w:p>
    <w:p>
      <w:pPr>
        <w:pStyle w:val="BodyText"/>
      </w:pPr>
      <w:r>
        <w:rPr>
          <w:b/>
          <w:bCs/>
        </w:rPr>
        <w:t xml:space="preserve">Round-2 review changes (2026-10-26).</w:t>
      </w:r>
      <w:r>
        <w:t xml:space="preserve"> </w:t>
      </w:r>
      <w:r>
        <w:t xml:space="preserve">A coding error in the post hoc</w:t>
      </w:r>
      <w:r>
        <w:t xml:space="preserve"> </w:t>
      </w:r>
      <w:r>
        <w:t xml:space="preserve">“without duration”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posthoc_models.py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ane_dur_h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log_dur</w:t>
      </w:r>
      <w:r>
        <w:t xml:space="preserve"> </w:t>
      </w:r>
      <w:r>
        <w:t xml:space="preserve">column the model uses) was</w:t>
      </w:r>
      <w:r>
        <w:t xml:space="preserve"> </w:t>
      </w:r>
      <w:r>
        <w:t xml:space="preserve">corrected; the corrected estimate is 1.10 (0.70–1.71). The A11 rule is reported as the</w:t>
      </w:r>
      <w:r>
        <w:t xml:space="preserve"> </w:t>
      </w:r>
      <w:r>
        <w:t xml:space="preserve">single split selected by the tree search.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in the text denotes waveform-flagged</w:t>
      </w:r>
      <w:r>
        <w:t xml:space="preserve"> </w:t>
      </w:r>
      <w:r>
        <w:t xml:space="preserve">values (A1). The fragility of the primary verdict to AKI among the discordant patients was</w:t>
      </w:r>
      <w:r>
        <w:t xml:space="preserve"> </w:t>
      </w:r>
      <w:r>
        <w:t xml:space="preserve">quantified post hoc (</w:t>
      </w:r>
      <w:r>
        <w:rPr>
          <w:rStyle w:val="VerbatimChar"/>
        </w:rPr>
        <w:t xml:space="preserve">src/posthoc_k.py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2026-10-26T09:25:33Z</dcterms:created>
  <dcterms:modified xsi:type="dcterms:W3CDTF">2026-10-26T09:25:33Z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