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fc1181e460df32ecce163fc388e66027f12a8db"/>
    <w:p>
      <w:pPr>
        <w:pStyle w:val="Heading1"/>
      </w:pPr>
      <w:r>
        <w:t xml:space="preserve">Slide — How We Built the Requirements (EARS + Gherkin)</w:t>
      </w:r>
    </w:p>
    <w:p>
      <w:pPr>
        <w:pStyle w:val="BlockText"/>
      </w:pPr>
      <w:r>
        <w:t xml:space="preserve">Deck-ready text. Main slide first, then speaker notes and two optional backup slides.</w:t>
      </w:r>
    </w:p>
    <w:p>
      <w:r>
        <w:pict>
          <v:rect style="width:0;height:1.5pt" o:hralign="center" o:hrstd="t" o:hr="t"/>
        </w:pict>
      </w:r>
    </w:p>
    <w:bookmarkStart w:id="49" w:name="X4783f8a027153ebe2327827dede98ae00ccf0d9"/>
    <w:p>
      <w:pPr>
        <w:pStyle w:val="Heading2"/>
      </w:pPr>
      <w:r>
        <w:t xml:space="preserve">SLIDE 1 — From prose acceptance criteria to a machine-readable, dual-use spec</w:t>
      </w:r>
    </w:p>
    <w:p>
      <w:pPr>
        <w:pStyle w:val="FirstParagraph"/>
      </w:pPr>
      <w:r>
        <w:rPr>
          <w:b/>
          <w:bCs/>
        </w:rPr>
        <w:t xml:space="preserve">Subtitle:</w:t>
      </w:r>
      <w:r>
        <w:t xml:space="preserve"> </w:t>
      </w:r>
      <w:r>
        <w:t xml:space="preserve">One spec, two jobs: it</w:t>
      </w:r>
      <w:r>
        <w:t xml:space="preserve"> </w:t>
      </w:r>
      <w:r>
        <w:rPr>
          <w:i/>
          <w:iCs/>
        </w:rPr>
        <w:t xml:space="preserve">generates</w:t>
      </w:r>
      <w:r>
        <w:t xml:space="preserve"> </w:t>
      </w:r>
      <w:r>
        <w:t xml:space="preserve">the code and it</w:t>
      </w:r>
      <w:r>
        <w:t xml:space="preserve"> </w:t>
      </w:r>
      <w:r>
        <w:rPr>
          <w:i/>
          <w:iCs/>
        </w:rPr>
        <w:t xml:space="preserve">grades</w:t>
      </w:r>
      <w:r>
        <w:t xml:space="preserve"> </w:t>
      </w:r>
      <w:r>
        <w:t xml:space="preserve">the code.</w:t>
      </w:r>
    </w:p>
    <w:bookmarkStart w:id="10" w:name="the-problem-we-had"/>
    <w:p>
      <w:pPr>
        <w:pStyle w:val="Heading3"/>
      </w:pPr>
      <w:r>
        <w:t xml:space="preserve">The problem we had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 (prose spec)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Multi-clause criteria (</w:t>
            </w:r>
            <w:r>
              <w:t xml:space="preserve">“move left/right if in bounds and not blocked…”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LLM implements one clause, silently drops the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Vague wording (</w:t>
            </w:r>
            <w:r>
              <w:t xml:space="preserve">“fast”</w:t>
            </w:r>
            <w:r>
              <w:t xml:space="preserve">,</w:t>
            </w:r>
            <w:r>
              <w:t xml:space="preserve"> </w:t>
            </w:r>
            <w:r>
              <w:t xml:space="preserve">“responsive”</w:t>
            </w:r>
            <w:r>
              <w:t xml:space="preserve">,</w:t>
            </w:r>
            <w:r>
              <w:t xml:space="preserve"> </w:t>
            </w:r>
            <w:r>
              <w:t xml:space="preserve">“clear feedback”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Nothing to pass/fail against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stable identifiers — only section numbers</w:t>
            </w:r>
          </w:p>
        </w:tc>
        <w:tc>
          <w:tcPr/>
          <w:p>
            <w:pPr>
              <w:pStyle w:val="Compact"/>
            </w:pPr>
            <w:r>
              <w:t xml:space="preserve">Can’t trace requirement → code → verdict; edits renumber everything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only as free-form prose</w:t>
            </w:r>
          </w:p>
        </w:tc>
        <w:tc>
          <w:tcPr/>
          <w:p>
            <w:pPr>
              <w:pStyle w:val="Compact"/>
            </w:pPr>
            <w:r>
              <w:t xml:space="preserve">LLM-as-judge gives a holistic vibe score, not per-item evidence</w:t>
            </w:r>
          </w:p>
        </w:tc>
      </w:tr>
    </w:tbl>
    <w:p>
      <w:pPr>
        <w:pStyle w:val="BodyText"/>
      </w:pPr>
      <w:r>
        <w:t xml:space="preserve">Starting point:</w:t>
      </w:r>
      <w:r>
        <w:t xml:space="preserve"> </w:t>
      </w:r>
      <w:hyperlink r:id="rId9">
        <w:r>
          <w:rPr>
            <w:rStyle w:val="VerbatimChar"/>
          </w:rPr>
          <w:t xml:space="preserve">acceptance_criteria_tetris.md</w:t>
        </w:r>
      </w:hyperlink>
      <w:r>
        <w:t xml:space="preserve"> </w:t>
      </w:r>
      <w:r>
        <w:t xml:space="preserve">— 309 lines of readable but</w:t>
      </w:r>
      <w:r>
        <w:t xml:space="preserve"> </w:t>
      </w:r>
      <w:r>
        <w:rPr>
          <w:b/>
          <w:bCs/>
        </w:rPr>
        <w:t xml:space="preserve">non-atomic, non-addressable</w:t>
      </w:r>
      <w:r>
        <w:t xml:space="preserve"> </w:t>
      </w:r>
      <w:r>
        <w:t xml:space="preserve">prose.</w:t>
      </w:r>
    </w:p>
    <w:bookmarkEnd w:id="10"/>
    <w:bookmarkStart w:id="20" w:name="Xa492f2e25976cb311481f80992bcf06795a7929"/>
    <w:p>
      <w:pPr>
        <w:pStyle w:val="Heading3"/>
      </w:pPr>
      <w:r>
        <w:t xml:space="preserve">What we did — a 4-layer standard (</w:t>
      </w:r>
      <w:hyperlink r:id="rId11">
        <w:r>
          <w:rPr>
            <w:rStyle w:val="VerbatimChar"/>
          </w:rPr>
          <w:t xml:space="preserve">requirements_doc_standard.md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Convention adopted</w:t>
            </w:r>
          </w:p>
        </w:tc>
        <w:tc>
          <w:tcPr/>
          <w:p>
            <w:pPr>
              <w:pStyle w:val="Compact"/>
            </w:pPr>
            <w:r>
              <w:t xml:space="preserve">Industry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why / for whom</w:t>
            </w:r>
          </w:p>
        </w:tc>
        <w:tc>
          <w:tcPr/>
          <w:p>
            <w:pPr>
              <w:pStyle w:val="Compact"/>
            </w:pPr>
            <w:r>
              <w:t xml:space="preserve">Working Backwards PR/FAQ + light design doc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AWS PR/FAQ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Google design docs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what, one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SHALL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EARS</w:t>
            </w:r>
            <w:r>
              <w:t xml:space="preserve"> </w:t>
            </w:r>
            <w:r>
              <w:t xml:space="preserve">notation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Mavin / Rolls-Royce, 2009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Amazon Kiro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how we prove 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Gherkin</w:t>
            </w:r>
            <w:r>
              <w:t xml:space="preserve"> </w:t>
            </w:r>
            <w:r>
              <w:rPr>
                <w:rStyle w:val="VerbatimChar"/>
              </w:rPr>
              <w:t xml:space="preserve">Given–When–Then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Cucumber / BDD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traceability &amp; quality</w:t>
            </w:r>
          </w:p>
        </w:tc>
        <w:tc>
          <w:tcPr/>
          <w:p>
            <w:pPr>
              <w:pStyle w:val="Compact"/>
            </w:pPr>
            <w:r>
              <w:t xml:space="preserve">Stable IDs + traceability matrix + quality lint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ISO/IEC/IEEE 29148:2018</w:t>
              </w:r>
            </w:hyperlink>
            <w:r>
              <w:t xml:space="preserve"> </w:t>
            </w:r>
            <w:r>
              <w:t xml:space="preserve">· INVEST</w:t>
            </w:r>
          </w:p>
        </w:tc>
      </w:tr>
    </w:tbl>
    <w:p>
      <w:pPr>
        <w:pStyle w:val="BodyText"/>
      </w:pPr>
      <w:r>
        <w:t xml:space="preserve">Pipeline mirrors</w:t>
      </w:r>
      <w:r>
        <w:t xml:space="preserve"> </w:t>
      </w:r>
      <w:hyperlink r:id="rId18">
        <w:r>
          <w:rPr>
            <w:rStyle w:val="Hyperlink"/>
            <w:b/>
            <w:bCs/>
          </w:rPr>
          <w:t xml:space="preserve">Amazon Kiro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  <w:b/>
            <w:bCs/>
          </w:rPr>
          <w:t xml:space="preserve">GitHub Spec Kit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intent → requirements (EARS) → design → atomic tasks → implement → verify (Gherkin + LLM-judge, same IDs)</w:t>
      </w:r>
      <w:r>
        <w:br/>
      </w:r>
      <w:r>
        <w:rPr>
          <w:rStyle w:val="VerbatimChar"/>
        </w:rPr>
        <w:t xml:space="preserve">   why           what/SHALL        how       work units      code        loop closes back to the ID</w:t>
      </w:r>
    </w:p>
    <w:bookmarkEnd w:id="20"/>
    <w:bookmarkStart w:id="23" w:name="why-ears-for-the-requirement-statement"/>
    <w:p>
      <w:pPr>
        <w:pStyle w:val="Heading3"/>
      </w:pPr>
      <w:r>
        <w:t xml:space="preserve">Why</w:t>
      </w:r>
      <w:r>
        <w:t xml:space="preserve"> </w:t>
      </w:r>
      <w:r>
        <w:rPr>
          <w:b/>
          <w:bCs/>
        </w:rPr>
        <w:t xml:space="preserve">EARS</w:t>
      </w:r>
      <w:r>
        <w:t xml:space="preserve"> </w:t>
      </w:r>
      <w:r>
        <w:t xml:space="preserve">for the requirement statement</w:t>
      </w:r>
    </w:p>
    <w:p>
      <w:pPr>
        <w:pStyle w:val="BlockText"/>
      </w:pPr>
      <w:r>
        <w:t xml:space="preserve">📎</w:t>
      </w:r>
      <w:r>
        <w:t xml:space="preserve"> </w:t>
      </w:r>
      <w:hyperlink r:id="rId14">
        <w:r>
          <w:rPr>
            <w:rStyle w:val="Hyperlink"/>
          </w:rPr>
          <w:t xml:space="preserve">Official EARS guide (Mavin)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Original paper, PDF</w:t>
        </w:r>
      </w:hyperlink>
      <w:r>
        <w:t xml:space="preserve"> </w:t>
      </w:r>
      <w:r>
        <w:t xml:space="preserve">·</w:t>
      </w:r>
      <w:r>
        <w:t xml:space="preserve"> </w:t>
      </w:r>
      <w:hyperlink r:id="rId15">
        <w:r>
          <w:rPr>
            <w:rStyle w:val="Hyperlink"/>
          </w:rPr>
          <w:t xml:space="preserve">Kiro feature specs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Constrained natural language</w:t>
      </w:r>
      <w:r>
        <w:t xml:space="preserve"> </w:t>
      </w:r>
      <w:r>
        <w:t xml:space="preserve">— 5 patterns only (Ubiquitous / Event-driven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/ State-driven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/ Optional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/ Unwanted</w:t>
      </w:r>
      <w:r>
        <w:t xml:space="preserve"> </w:t>
      </w:r>
      <w:r>
        <w:rPr>
          <w:rStyle w:val="VerbatimChar"/>
        </w:rPr>
        <w:t xml:space="preserve">If–then</w:t>
      </w:r>
      <w:r>
        <w:t xml:space="preserve">). Readable by a human, parseable by a machine, no DSL or tooling to learn. →</w:t>
      </w:r>
      <w:r>
        <w:t xml:space="preserve"> </w:t>
      </w:r>
      <w:hyperlink r:id="rId14">
        <w:r>
          <w:rPr>
            <w:rStyle w:val="Hyperlink"/>
          </w:rPr>
          <w:t xml:space="preserve">patterns reference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If–then</w:t>
      </w:r>
      <w:r>
        <w:rPr>
          <w:b/>
          <w:bCs/>
        </w:rPr>
        <w:t xml:space="preserve"> </w:t>
      </w:r>
      <w:r>
        <w:rPr>
          <w:b/>
          <w:bCs/>
        </w:rPr>
        <w:t xml:space="preserve">pattern forces failure modes to be written down.</w:t>
      </w:r>
      <w:r>
        <w:t xml:space="preserve"> </w:t>
      </w:r>
      <w:r>
        <w:t xml:space="preserve">This is where LLM-generated games usually break — blocked moves, impossible rotations,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unavailable, corrupt saved data. → our</w:t>
      </w:r>
      <w:r>
        <w:t xml:space="preserve"> </w:t>
      </w:r>
      <w:r>
        <w:rPr>
          <w:rStyle w:val="VerbatimChar"/>
        </w:rPr>
        <w:t xml:space="preserve">FR-ERR-*</w:t>
      </w:r>
      <w:r>
        <w:t xml:space="preserve"> </w:t>
      </w:r>
      <w:r>
        <w:t xml:space="preserve">block,</w:t>
      </w:r>
      <w:r>
        <w:t xml:space="preserve"> </w:t>
      </w:r>
      <w:hyperlink r:id="rId22">
        <w:r>
          <w:rPr>
            <w:rStyle w:val="VerbatimChar"/>
          </w:rPr>
          <w:t xml:space="preserve">requirements.md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§Q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SHALL</w:t>
      </w:r>
      <w:r>
        <w:rPr>
          <w:b/>
          <w:bCs/>
        </w:rPr>
        <w:t xml:space="preserve"> </w:t>
      </w:r>
      <w:r>
        <w:rPr>
          <w:b/>
          <w:bCs/>
        </w:rPr>
        <w:t xml:space="preserve">= one atom</w:t>
      </w:r>
      <w:r>
        <w:t xml:space="preserve"> </w:t>
      </w:r>
      <w:r>
        <w:t xml:space="preserve">→ a clean task boundary for generation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clean boolean for grading. →</w:t>
      </w:r>
      <w:r>
        <w:t xml:space="preserve"> </w:t>
      </w:r>
      <w:hyperlink r:id="rId17">
        <w:r>
          <w:rPr>
            <w:rStyle w:val="Hyperlink"/>
          </w:rPr>
          <w:t xml:space="preserve">“Singular”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ISO 29148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Kills the eight classic requirement defects</w:t>
      </w:r>
      <w:r>
        <w:t xml:space="preserve"> </w:t>
      </w:r>
      <w:r>
        <w:t xml:space="preserve">EARS was designed against (ambiguity, vagueness, complexity, omission…) — exactly the noise that makes an agent guess. →</w:t>
      </w:r>
      <w:r>
        <w:t xml:space="preserve"> </w:t>
      </w:r>
      <w:hyperlink r:id="rId21">
        <w:r>
          <w:rPr>
            <w:rStyle w:val="Hyperlink"/>
          </w:rPr>
          <w:t xml:space="preserve">original EARS paper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Proven at scale:</w:t>
      </w:r>
      <w:r>
        <w:t xml:space="preserve"> </w:t>
      </w:r>
      <w:r>
        <w:t xml:space="preserve">Airbus, Bosch, Honeywell, Intel, NASA, Siemens — and it is the format</w:t>
      </w:r>
      <w:r>
        <w:t xml:space="preserve"> </w:t>
      </w:r>
      <w:hyperlink r:id="rId15">
        <w:r>
          <w:rPr>
            <w:rStyle w:val="Hyperlink"/>
          </w:rPr>
          <w:t xml:space="preserve">Amazon Kiro</w:t>
        </w:r>
      </w:hyperlink>
      <w:r>
        <w:t xml:space="preserve"> </w:t>
      </w:r>
      <w:r>
        <w:t xml:space="preserve">emits in its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.</w:t>
      </w:r>
    </w:p>
    <w:bookmarkEnd w:id="23"/>
    <w:bookmarkStart w:id="32" w:name="why-gherkin-for-the-acceptance-criteria"/>
    <w:p>
      <w:pPr>
        <w:pStyle w:val="Heading3"/>
      </w:pPr>
      <w:r>
        <w:t xml:space="preserve">Why</w:t>
      </w:r>
      <w:r>
        <w:t xml:space="preserve"> </w:t>
      </w:r>
      <w:r>
        <w:rPr>
          <w:b/>
          <w:bCs/>
        </w:rPr>
        <w:t xml:space="preserve">Gherkin</w:t>
      </w:r>
      <w:r>
        <w:t xml:space="preserve"> </w:t>
      </w:r>
      <w:r>
        <w:t xml:space="preserve">for the acceptance criteria</w:t>
      </w:r>
    </w:p>
    <w:p>
      <w:pPr>
        <w:pStyle w:val="BlockText"/>
      </w:pPr>
      <w:r>
        <w:t xml:space="preserve">📎</w:t>
      </w:r>
      <w:r>
        <w:t xml:space="preserve"> </w:t>
      </w:r>
      <w:hyperlink r:id="rId16">
        <w:r>
          <w:rPr>
            <w:rStyle w:val="Hyperlink"/>
          </w:rPr>
          <w:t xml:space="preserve">Gherkin reference (Cucumber)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BDD overview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From Law to Gherkin, arXiv 2508.20744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Separates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how it’s proven</w:t>
      </w:r>
      <w:r>
        <w:rPr>
          <w:b/>
          <w:bCs/>
        </w:rPr>
        <w:t xml:space="preserve">.</w:t>
      </w:r>
      <w:r>
        <w:t xml:space="preserve"> </w:t>
      </w:r>
      <w:r>
        <w:t xml:space="preserve">EARS says the system shall; Gherkin fixes the observable evidence.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Given</w:t>
      </w:r>
      <w:r>
        <w:rPr>
          <w:b/>
          <w:bCs/>
        </w:rPr>
        <w:t xml:space="preserve"> </w:t>
      </w:r>
      <w:r>
        <w:rPr>
          <w:b/>
          <w:bCs/>
        </w:rPr>
        <w:t xml:space="preserve">pins the pre-state</w:t>
      </w:r>
      <w:r>
        <w:t xml:space="preserve"> </w:t>
      </w:r>
      <w:r>
        <w:t xml:space="preserve">— the context an LLM judge would otherwise invent. Judging happens against a stated setup, not an imagined one. → motivated by</w:t>
      </w:r>
      <w:r>
        <w:t xml:space="preserve"> </w:t>
      </w:r>
      <w:hyperlink r:id="rId26">
        <w:r>
          <w:rPr>
            <w:rStyle w:val="Hyperlink"/>
          </w:rPr>
          <w:t xml:space="preserve">Jin &amp; Chen, arXiv 2508.12358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Executable by construction</w:t>
      </w:r>
      <w:r>
        <w:t xml:space="preserve"> </w:t>
      </w:r>
      <w:r>
        <w:t xml:space="preserve">— a Gherkin scenario maps 1:1 to a</w:t>
      </w:r>
      <w:r>
        <w:t xml:space="preserve"> </w:t>
      </w:r>
      <w:hyperlink r:id="rId27">
        <w:r>
          <w:rPr>
            <w:rStyle w:val="Hyperlink"/>
          </w:rPr>
          <w:t xml:space="preserve">Cucumber</w:t>
        </w:r>
      </w:hyperlink>
      <w:r>
        <w:t xml:space="preserve"> </w:t>
      </w:r>
      <w:r>
        <w:t xml:space="preserve">/</w:t>
      </w:r>
      <w:r>
        <w:t xml:space="preserve"> </w:t>
      </w:r>
      <w:hyperlink r:id="rId28">
        <w:r>
          <w:rPr>
            <w:rStyle w:val="Hyperlink"/>
          </w:rPr>
          <w:t xml:space="preserve">Playwright</w:t>
        </w:r>
      </w:hyperlink>
      <w:r>
        <w:t xml:space="preserve"> </w:t>
      </w:r>
      <w:r>
        <w:t xml:space="preserve">test the day we add a suite. Same artifact, no rewrite.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Structured, so grading is a checklist, not an opinion</w:t>
      </w:r>
      <w:r>
        <w:t xml:space="preserve"> </w:t>
      </w:r>
      <w:r>
        <w:t xml:space="preserve">— one verdict per scenario, with evidence. →</w:t>
      </w:r>
      <w:r>
        <w:t xml:space="preserve"> </w:t>
      </w:r>
      <w:hyperlink r:id="rId29">
        <w:r>
          <w:rPr>
            <w:rStyle w:val="Hyperlink"/>
          </w:rPr>
          <w:t xml:space="preserve">RocketEval, arXiv 2503.05142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Rubric Is All You Need, arXiv 2503.23989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LLMs generate Gherkin well from stories/regulations</w:t>
      </w:r>
      <w:r>
        <w:t xml:space="preserve"> </w:t>
      </w:r>
      <w:r>
        <w:t xml:space="preserve">(~95% helpfulness in industrial case studies) —</w:t>
      </w:r>
      <w:r>
        <w:t xml:space="preserve"> </w:t>
      </w:r>
      <w:r>
        <w:rPr>
          <w:i/>
          <w:iCs/>
        </w:rPr>
        <w:t xml:space="preserve">with human oversight required.</w:t>
      </w:r>
      <w:r>
        <w:t xml:space="preserve"> </w:t>
      </w:r>
      <w:r>
        <w:t xml:space="preserve">→</w:t>
      </w:r>
      <w:r>
        <w:t xml:space="preserve"> </w:t>
      </w:r>
      <w:hyperlink r:id="rId31">
        <w:r>
          <w:rPr>
            <w:rStyle w:val="Hyperlink"/>
          </w:rPr>
          <w:t xml:space="preserve">LLM+BDD test generation, SCITEPRESS 2025</w:t>
        </w:r>
      </w:hyperlink>
    </w:p>
    <w:bookmarkEnd w:id="32"/>
    <w:bookmarkStart w:id="36" w:name="result-requirements_docrequirements.md"/>
    <w:p>
      <w:pPr>
        <w:pStyle w:val="Heading3"/>
      </w:pPr>
      <w:r>
        <w:t xml:space="preserve">Result —</w:t>
      </w:r>
      <w:r>
        <w:t xml:space="preserve"> </w:t>
      </w:r>
      <w:hyperlink r:id="rId22">
        <w:r>
          <w:rPr>
            <w:rStyle w:val="VerbatimChar"/>
          </w:rPr>
          <w:t xml:space="preserve">requirements_doc/requirements.md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requirement records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</w:t>
            </w:r>
            <w:r>
              <w:t xml:space="preserve"> </w:t>
            </w:r>
            <w:r>
              <w:t xml:space="preserve">(from 309 lines of prose)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split (MoSCoW)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  <w:r>
              <w:t xml:space="preserve"> </w:t>
            </w:r>
            <w:r>
              <w:rPr>
                <w:rStyle w:val="VerbatimChar"/>
              </w:rPr>
              <w:t xml:space="preserve">must</w:t>
            </w:r>
            <w:r>
              <w:t xml:space="preserve"> </w:t>
            </w:r>
            <w:r>
              <w:t xml:space="preserve">· 29</w:t>
            </w:r>
            <w:r>
              <w:t xml:space="preserve"> </w:t>
            </w:r>
            <w:r>
              <w:rPr>
                <w:rStyle w:val="VerbatimChar"/>
              </w:rPr>
              <w:t xml:space="preserve">should</w:t>
            </w:r>
            <w:r>
              <w:t xml:space="preserve"> </w:t>
            </w:r>
            <w:r>
              <w:t xml:space="preserve">· 6</w:t>
            </w:r>
            <w:r>
              <w:t xml:space="preserve"> </w:t>
            </w:r>
            <w:r>
              <w:rPr>
                <w:rStyle w:val="VerbatimChar"/>
              </w:rP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split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  <w:r>
              <w:t xml:space="preserve"> </w:t>
            </w:r>
            <w:r>
              <w:rPr>
                <w:rStyle w:val="VerbatimChar"/>
              </w:rPr>
              <w:t xml:space="preserve">llm-judge</w:t>
            </w:r>
            <w:r>
              <w:t xml:space="preserve"> </w:t>
            </w:r>
            <w:r>
              <w:t xml:space="preserve">· 30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 ID scheme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FR-*</w:t>
            </w:r>
            <w:r>
              <w:t xml:space="preserve"> </w:t>
            </w:r>
            <w:r>
              <w:t xml:space="preserve">functional ·</w:t>
            </w:r>
            <w:r>
              <w:t xml:space="preserve"> </w:t>
            </w:r>
            <w:r>
              <w:rPr>
                <w:rStyle w:val="VerbatimChar"/>
              </w:rPr>
              <w:t xml:space="preserve">NFR-*</w:t>
            </w:r>
            <w:r>
              <w:t xml:space="preserve"> </w:t>
            </w:r>
            <w:r>
              <w:t xml:space="preserve">non-functional ·</w:t>
            </w:r>
            <w:r>
              <w:t xml:space="preserve"> </w:t>
            </w:r>
            <w:r>
              <w:rPr>
                <w:rStyle w:val="VerbatimChar"/>
              </w:rPr>
              <w:t xml:space="preserve">UI-*</w:t>
            </w:r>
            <w:r>
              <w:t xml:space="preserve"> </w:t>
            </w: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Companion artifacts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traceability.md</w:t>
              </w:r>
            </w:hyperlink>
            <w:r>
              <w:t xml:space="preserve"> </w:t>
            </w:r>
            <w:r>
              <w:t xml:space="preserve">(one row per ID: status / evidence / notes)</w:t>
            </w:r>
          </w:p>
        </w:tc>
      </w:tr>
    </w:tbl>
    <w:p>
      <w:pPr>
        <w:pStyle w:val="BodyText"/>
      </w:pPr>
      <w:r>
        <w:t xml:space="preserve">Source &amp; standard:</w:t>
      </w:r>
      <w:r>
        <w:t xml:space="preserve"> </w:t>
      </w:r>
      <w:hyperlink r:id="rId9">
        <w:r>
          <w:rPr>
            <w:rStyle w:val="VerbatimChar"/>
          </w:rPr>
          <w:t xml:space="preserve">acceptance_criteria_tetris.md</w:t>
        </w:r>
      </w:hyperlink>
      <w:r>
        <w:t xml:space="preserve"> </w:t>
      </w:r>
      <w:r>
        <w:t xml:space="preserve">→</w:t>
      </w:r>
      <w:r>
        <w:t xml:space="preserve"> </w:t>
      </w:r>
      <w:hyperlink r:id="rId11">
        <w:r>
          <w:rPr>
            <w:rStyle w:val="VerbatimChar"/>
          </w:rPr>
          <w:t xml:space="preserve">requirements_doc_standard.md</w:t>
        </w:r>
      </w:hyperlink>
      <w:r>
        <w:t xml:space="preserve"> </w:t>
      </w:r>
      <w:r>
        <w:t xml:space="preserve">→</w:t>
      </w:r>
      <w:r>
        <w:t xml:space="preserve"> </w:t>
      </w:r>
      <w:hyperlink r:id="rId22">
        <w:r>
          <w:rPr>
            <w:rStyle w:val="VerbatimChar"/>
          </w:rPr>
          <w:t xml:space="preserve">requirements_doc/requirements.md</w:t>
        </w:r>
      </w:hyperlink>
      <w:r>
        <w:t xml:space="preserve">; applied compliance machinery in</w:t>
      </w:r>
      <w:r>
        <w:t xml:space="preserve"> </w:t>
      </w:r>
      <w:hyperlink r:id="rId34">
        <w:r>
          <w:rPr>
            <w:rStyle w:val="VerbatimChar"/>
          </w:rPr>
          <w:t xml:space="preserve">compliance.md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VerbatimChar"/>
          </w:rPr>
          <w:t xml:space="preserve">g_eval_metric.md</w:t>
        </w:r>
      </w:hyperlink>
      <w:r>
        <w:t xml:space="preserve">.</w:t>
      </w:r>
    </w:p>
    <w:p>
      <w:pPr>
        <w:pStyle w:val="BodyText"/>
      </w:pPr>
      <w:r>
        <w:t xml:space="preserve">Each record carries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roles, keyed by one ID: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FR-CLEAR-001</w:t>
      </w:r>
      <w:r>
        <w:br/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must</w:t>
      </w:r>
      <w:r>
        <w:br/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§3.7.1</w:t>
      </w:r>
      <w:r>
        <w:rPr>
          <w:rStyle w:val="CommentTok"/>
        </w:rPr>
        <w:t xml:space="preserve">                     # back-link to the original prose</w:t>
      </w:r>
      <w:r>
        <w:br/>
      </w:r>
      <w:r>
        <w:rPr>
          <w:rStyle w:val="FunctionTok"/>
        </w:rPr>
        <w:t xml:space="preserve">requirement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rPr>
          <w:rStyle w:val="CommentTok"/>
        </w:rPr>
        <w:t xml:space="preserve">                     # EARS  → drives GENERATION</w:t>
      </w:r>
      <w:r>
        <w:br/>
      </w:r>
      <w:r>
        <w:rPr>
          <w:rStyle w:val="NormalTok"/>
        </w:rPr>
        <w:t xml:space="preserve">  When the active piece locks and exactly one row is fully filled, the game shall</w:t>
      </w:r>
      <w:r>
        <w:br/>
      </w:r>
      <w:r>
        <w:rPr>
          <w:rStyle w:val="NormalTok"/>
        </w:rPr>
        <w:t xml:space="preserve">  remove that row and shift all rows above it down by one.</w:t>
      </w:r>
      <w:r>
        <w:br/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# Gherkin → drives COMPLIANCE</w:t>
      </w:r>
      <w:r>
        <w:br/>
      </w:r>
      <w:r>
        <w:rPr>
          <w:rStyle w:val="KeywordTok"/>
        </w:rPr>
        <w:t xml:space="preserve">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Given a board with exactly one fully-filled row</w:t>
      </w:r>
      <w:r>
        <w:br/>
      </w:r>
      <w:r>
        <w:rPr>
          <w:rStyle w:val="NormalTok"/>
        </w:rPr>
        <w:t xml:space="preserve">    When the active piece locks</w:t>
      </w:r>
      <w:r>
        <w:br/>
      </w:r>
      <w:r>
        <w:rPr>
          <w:rStyle w:val="NormalTok"/>
        </w:rPr>
        <w:t xml:space="preserve">    Then that row is removed</w:t>
      </w:r>
      <w:r>
        <w:br/>
      </w:r>
      <w:r>
        <w:rPr>
          <w:rStyle w:val="NormalTok"/>
        </w:rPr>
        <w:t xml:space="preserve">    And all rows above shift down by one</w:t>
      </w:r>
      <w:r>
        <w:br/>
      </w:r>
      <w:r>
        <w:rPr>
          <w:rStyle w:val="FunctionTok"/>
        </w:rPr>
        <w:t xml:space="preserve">verify_method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llm-judge</w:t>
      </w:r>
      <w:r>
        <w:br/>
      </w:r>
      <w:r>
        <w:rPr>
          <w:rStyle w:val="FunctionTok"/>
        </w:rPr>
        <w:t xml:space="preserve">quality_check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singular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verifiable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ISO 29148 lint</w:t>
      </w:r>
    </w:p>
    <w:bookmarkEnd w:id="36"/>
    <w:bookmarkStart w:id="39" w:name="problems-this-solved"/>
    <w:p>
      <w:pPr>
        <w:pStyle w:val="Heading3"/>
      </w:pPr>
      <w:r>
        <w:t xml:space="preserve">Problems this solved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more guessed intent</w:t>
      </w:r>
      <w:r>
        <w:t xml:space="preserve"> </w:t>
      </w:r>
      <w:r>
        <w:t xml:space="preserve">— the generator reads one unambiguous</w:t>
      </w:r>
      <w:r>
        <w:t xml:space="preserve"> </w:t>
      </w:r>
      <w:r>
        <w:rPr>
          <w:rStyle w:val="VerbatimChar"/>
        </w:rPr>
        <w:t xml:space="preserve">SHALL</w:t>
      </w:r>
      <w:r>
        <w:t xml:space="preserve"> </w:t>
      </w:r>
      <w:r>
        <w:t xml:space="preserve">per behaviour. →</w:t>
      </w:r>
      <w:r>
        <w:t xml:space="preserve"> </w:t>
      </w:r>
      <w:hyperlink r:id="rId18">
        <w:r>
          <w:rPr>
            <w:rStyle w:val="Hyperlink"/>
          </w:rPr>
          <w:t xml:space="preserve">Kiro rationale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Edge cases became first-class</w:t>
      </w:r>
      <w:r>
        <w:t xml:space="preserve"> </w:t>
      </w:r>
      <w:r>
        <w:t xml:space="preserve">— EARS</w:t>
      </w:r>
      <w:r>
        <w:t xml:space="preserve"> </w:t>
      </w:r>
      <w:r>
        <w:rPr>
          <w:rStyle w:val="VerbatimChar"/>
        </w:rPr>
        <w:t xml:space="preserve">If–then</w:t>
      </w:r>
      <w:r>
        <w:t xml:space="preserve"> </w:t>
      </w:r>
      <w:r>
        <w:t xml:space="preserve">made us write down block-out, wall-kick failure, quota-exceeded storage, tab-blur double-loop. →</w:t>
      </w:r>
      <w:r>
        <w:t xml:space="preserve"> </w:t>
      </w:r>
      <w:hyperlink r:id="rId22">
        <w:r>
          <w:rPr>
            <w:rStyle w:val="VerbatimChar"/>
          </w:rPr>
          <w:t xml:space="preserve">requirements.md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§Q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Grading became auditable</w:t>
      </w:r>
      <w:r>
        <w:t xml:space="preserve"> </w:t>
      </w:r>
      <w:r>
        <w:t xml:space="preserve">— 93 booleans with evidence instead of one holistic score;</w:t>
      </w:r>
      <w:r>
        <w:t xml:space="preserve"> </w:t>
      </w:r>
      <w:hyperlink r:id="rId33">
        <w:r>
          <w:rPr>
            <w:rStyle w:val="VerbatimChar"/>
          </w:rPr>
          <w:t xml:space="preserve">traceability.md</w:t>
        </w:r>
      </w:hyperlink>
      <w:r>
        <w:t xml:space="preserve"> </w:t>
      </w:r>
      <w:r>
        <w:t xml:space="preserve">shows coverage and drift at a glance. →</w:t>
      </w:r>
      <w:r>
        <w:t xml:space="preserve"> </w:t>
      </w:r>
      <w:hyperlink r:id="rId37">
        <w:r>
          <w:rPr>
            <w:rStyle w:val="Hyperlink"/>
          </w:rPr>
          <w:t xml:space="preserve">Graph-RAG traceability, arXiv 2412.08593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Judge unreliability contained</w:t>
      </w:r>
      <w:r>
        <w:t xml:space="preserve"> </w:t>
      </w:r>
      <w:r>
        <w:t xml:space="preserve">— deterministic checks preferred;</w:t>
      </w:r>
      <w:r>
        <w:t xml:space="preserve"> </w:t>
      </w:r>
      <w:r>
        <w:rPr>
          <w:rStyle w:val="VerbatimChar"/>
        </w:rPr>
        <w:t xml:space="preserve">verify_method</w:t>
      </w:r>
      <w:r>
        <w:t xml:space="preserve"> </w:t>
      </w:r>
      <w:r>
        <w:t xml:space="preserve">explicitly downgrades subjective items to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instead of pretending a model can settle them. →</w:t>
      </w:r>
      <w:r>
        <w:t xml:space="preserve"> </w:t>
      </w:r>
      <w:hyperlink r:id="rId38">
        <w:r>
          <w:rPr>
            <w:rStyle w:val="Hyperlink"/>
          </w:rPr>
          <w:t xml:space="preserve">LLM-as-judge survey, arXiv 2510.24367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Change is safe</w:t>
      </w:r>
      <w:r>
        <w:t xml:space="preserve"> </w:t>
      </w:r>
      <w:r>
        <w:t xml:space="preserve">— stable IDs survive re-ordering;</w:t>
      </w:r>
      <w:r>
        <w:t xml:space="preserve"> </w:t>
      </w:r>
      <w:r>
        <w:rPr>
          <w:rStyle w:val="VerbatimChar"/>
        </w:rPr>
        <w:t xml:space="preserve">source:</w:t>
      </w:r>
      <w:r>
        <w:t xml:space="preserve"> </w:t>
      </w:r>
      <w:r>
        <w:t xml:space="preserve">keeps the audit trail to the original document.</w:t>
      </w:r>
    </w:p>
    <w:bookmarkEnd w:id="39"/>
    <w:bookmarkStart w:id="48" w:name="evidence-base-research"/>
    <w:p>
      <w:pPr>
        <w:pStyle w:val="Heading3"/>
      </w:pPr>
      <w:r>
        <w:t xml:space="preserve">Evidence base (research)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Generation:</w:t>
      </w:r>
      <w:r>
        <w:t xml:space="preserve"> </w:t>
      </w:r>
      <w:hyperlink r:id="rId40">
        <w:r>
          <w:rPr>
            <w:rStyle w:val="Hyperlink"/>
          </w:rPr>
          <w:t xml:space="preserve">ArchCode, arXiv 2408.00994</w:t>
        </w:r>
      </w:hyperlink>
      <w:r>
        <w:t xml:space="preserve"> </w:t>
      </w:r>
      <w:r>
        <w:t xml:space="preserve">— requirements in, one test per requirement out;</w:t>
      </w:r>
      <w:r>
        <w:t xml:space="preserve"> </w:t>
      </w:r>
      <w:hyperlink r:id="rId41">
        <w:r>
          <w:rPr>
            <w:rStyle w:val="Hyperlink"/>
          </w:rPr>
          <w:t xml:space="preserve">Specine, 2509.01313</w:t>
        </w:r>
      </w:hyperlink>
      <w:r>
        <w:t xml:space="preserve">;</w:t>
      </w:r>
      <w:r>
        <w:t xml:space="preserve"> </w:t>
      </w:r>
      <w:hyperlink r:id="rId42">
        <w:r>
          <w:rPr>
            <w:rStyle w:val="Hyperlink"/>
          </w:rPr>
          <w:t xml:space="preserve">CodeIF, 2502.19166</w:t>
        </w:r>
      </w:hyperlink>
      <w:r>
        <w:t xml:space="preserve"> </w:t>
      </w:r>
      <w:r>
        <w:t xml:space="preserve">&amp;</w:t>
      </w:r>
      <w:r>
        <w:t xml:space="preserve"> </w:t>
      </w:r>
      <w:hyperlink r:id="rId43">
        <w:r>
          <w:rPr>
            <w:rStyle w:val="Hyperlink"/>
          </w:rPr>
          <w:t xml:space="preserve">SR-Eval, 2509.18808</w:t>
        </w:r>
      </w:hyperlink>
      <w:r>
        <w:t xml:space="preserve"> </w:t>
      </w:r>
      <w:r>
        <w:t xml:space="preserve">on requirement-following.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Compliance:</w:t>
      </w:r>
      <w:r>
        <w:t xml:space="preserve"> </w:t>
      </w:r>
      <w:hyperlink r:id="rId29">
        <w:r>
          <w:rPr>
            <w:rStyle w:val="Hyperlink"/>
          </w:rPr>
          <w:t xml:space="preserve">RocketEval, 2503.05142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Rubric Is All You Need</w:t>
        </w:r>
        <w:r>
          <w:rPr>
            <w:rStyle w:val="Hyperlink"/>
          </w:rPr>
          <w:t xml:space="preserve">, 2503.23989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checklist grading beats free-form judging</w:t>
      </w:r>
      <w:r>
        <w:t xml:space="preserve">; acceptance-test generation:</w:t>
      </w:r>
      <w:r>
        <w:t xml:space="preserve"> </w:t>
      </w:r>
      <w:hyperlink r:id="rId44">
        <w:r>
          <w:rPr>
            <w:rStyle w:val="Hyperlink"/>
          </w:rPr>
          <w:t xml:space="preserve">AutoUAT/TestFlow, 2504.07244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AToMIC, 2510.18861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Masuda et al., 2510.03641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Caveats we designed around:</w:t>
      </w:r>
      <w:r>
        <w:t xml:space="preserve"> </w:t>
      </w:r>
      <w:hyperlink r:id="rId26">
        <w:r>
          <w:rPr>
            <w:rStyle w:val="Hyperlink"/>
          </w:rPr>
          <w:t xml:space="preserve">systematic failures verifying code against NL specs — Jin &amp; Chen, 2508.12358</w:t>
        </w:r>
      </w:hyperlink>
      <w:r>
        <w:t xml:space="preserve">;</w:t>
      </w:r>
      <w:r>
        <w:t xml:space="preserve"> </w:t>
      </w:r>
      <w:hyperlink r:id="rId38">
        <w:r>
          <w:rPr>
            <w:rStyle w:val="Hyperlink"/>
          </w:rPr>
          <w:t xml:space="preserve">LLM-as-judge limitations survey, 2510.24367</w:t>
        </w:r>
      </w:hyperlink>
      <w:r>
        <w:t xml:space="preserve">. → hence atomic items, checklist grading, and humans on the ambiguous gate.</w:t>
      </w:r>
    </w:p>
    <w:p>
      <w:pPr>
        <w:pStyle w:val="FirstParagraph"/>
      </w:pPr>
      <w:r>
        <w:rPr>
          <w:i/>
          <w:iCs/>
        </w:rPr>
        <w:t xml:space="preserve">(Local copies of most of these live in the repo root: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2412.08593.md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2502.19166.md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2503.05142.md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2503.23989.md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2504.07244.md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2508.12358.md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2509.18808.md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2510.03641.md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2510.18861v1.md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2510.24367.md</w:t>
      </w:r>
      <w:r>
        <w:rPr>
          <w:i/>
          <w:iCs/>
        </w:rPr>
        <w:t xml:space="preserve">. Full index:</w:t>
      </w:r>
      <w:r>
        <w:rPr>
          <w:i/>
          <w:iCs/>
        </w:rPr>
        <w:t xml:space="preserve"> </w:t>
      </w:r>
      <w:hyperlink r:id="rId47">
        <w:r>
          <w:rPr>
            <w:rStyle w:val="VerbatimChar"/>
            <w:i/>
            <w:iCs/>
          </w:rPr>
          <w:t xml:space="preserve">papers_list.md</w:t>
        </w:r>
      </w:hyperlink>
      <w:r>
        <w:rPr>
          <w:i/>
          <w:iCs/>
        </w:rPr>
        <w:t xml:space="preserve">.)</w:t>
      </w:r>
    </w:p>
    <w:p>
      <w:pPr>
        <w:pStyle w:val="Block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EARS makes the requirement</w:t>
      </w:r>
      <w:r>
        <w:t xml:space="preserve"> </w:t>
      </w:r>
      <w:r>
        <w:rPr>
          <w:i/>
          <w:iCs/>
        </w:rPr>
        <w:t xml:space="preserve">unambiguous</w:t>
      </w:r>
      <w:r>
        <w:t xml:space="preserve">; Gherkin makes it</w:t>
      </w:r>
      <w:r>
        <w:t xml:space="preserve"> </w:t>
      </w:r>
      <w:r>
        <w:rPr>
          <w:i/>
          <w:iCs/>
        </w:rPr>
        <w:t xml:space="preserve">provable</w:t>
      </w:r>
      <w:r>
        <w:t xml:space="preserve">; stable IDs make it</w:t>
      </w:r>
      <w:r>
        <w:t xml:space="preserve"> </w:t>
      </w:r>
      <w:r>
        <w:rPr>
          <w:i/>
          <w:iCs/>
        </w:rPr>
        <w:t xml:space="preserve">traceable</w:t>
      </w:r>
      <w:r>
        <w:t xml:space="preserve">. Same file feeds the coding agent and the compliance judge.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peaker-notes-2-min"/>
    <w:p>
      <w:pPr>
        <w:pStyle w:val="Heading2"/>
      </w:pPr>
      <w:r>
        <w:t xml:space="preserve">SPEAKER NOTES (≈2 min)</w:t>
      </w:r>
    </w:p>
    <w:p>
      <w:pPr>
        <w:pStyle w:val="FirstParagraph"/>
      </w:pPr>
      <w:r>
        <w:t xml:space="preserve">Our original acceptance criteria read well to a human and failed as an agent input. A single bullet often carried three obligations, so the model implemented the first and quietly skipped the rest — and we had no way to detect that, because verification was prose against prose.</w:t>
      </w:r>
    </w:p>
    <w:p>
      <w:pPr>
        <w:pStyle w:val="BodyText"/>
      </w:pPr>
      <w:r>
        <w:t xml:space="preserve">So we went looking at what industry already standardised. Amazon’s Kiro IDE and GitHub’s Spec Kit had independently converged on the same answer: EARS-style requirements, a design gate, atomic tasks, all as version-controlled Markdown. We adopted that shape.</w:t>
      </w:r>
    </w:p>
    <w:p>
      <w:pPr>
        <w:pStyle w:val="BodyText"/>
      </w:pPr>
      <w:r>
        <w:t xml:space="preserve">EARS gives us five sentence patterns and one</w:t>
      </w:r>
      <w:r>
        <w:t xml:space="preserve"> </w:t>
      </w:r>
      <w:r>
        <w:rPr>
          <w:rStyle w:val="VerbatimChar"/>
        </w:rPr>
        <w:t xml:space="preserve">SHALL</w:t>
      </w:r>
      <w:r>
        <w:t xml:space="preserve"> </w:t>
      </w:r>
      <w:r>
        <w:t xml:space="preserve">per requirement. That constraint is the whole point — it is still English, nobody needs training, but it is regular enough to parse, and the</w:t>
      </w:r>
      <w:r>
        <w:t xml:space="preserve"> </w:t>
      </w:r>
      <w:r>
        <w:rPr>
          <w:rStyle w:val="VerbatimChar"/>
        </w:rPr>
        <w:t xml:space="preserve">If–then</w:t>
      </w:r>
      <w:r>
        <w:t xml:space="preserve"> </w:t>
      </w:r>
      <w:r>
        <w:t xml:space="preserve">pattern forces you to name the failure modes you would otherwise skip. That is where LLM-generated games break.</w:t>
      </w:r>
    </w:p>
    <w:p>
      <w:pPr>
        <w:pStyle w:val="BodyText"/>
      </w:pPr>
      <w:r>
        <w:t xml:space="preserve">Gherkin sits underneath each requirement. The requirement says what must be true; the scenario says what we would observe. The</w:t>
      </w:r>
      <w:r>
        <w:t xml:space="preserve"> </w:t>
      </w:r>
      <w:r>
        <w:rPr>
          <w:rStyle w:val="VerbatimChar"/>
        </w:rPr>
        <w:t xml:space="preserve">Given</w:t>
      </w:r>
      <w:r>
        <w:t xml:space="preserve"> </w:t>
      </w:r>
      <w:r>
        <w:t xml:space="preserve">matters most — it pins the pre-state, so a judge evaluates against a stated board, not one it invented. And the scenario is already the test we will automate.</w:t>
      </w:r>
    </w:p>
    <w:p>
      <w:pPr>
        <w:pStyle w:val="BodyText"/>
      </w:pPr>
      <w:r>
        <w:t xml:space="preserve">Result: 93 atomic records, each with a stable ID, an EARS statement, Gherkin acceptance, and a declared verification method. The coding agent reads the</w:t>
      </w:r>
      <w:r>
        <w:t xml:space="preserve"> </w:t>
      </w:r>
      <w:r>
        <w:rPr>
          <w:rStyle w:val="VerbatimChar"/>
        </w:rPr>
        <w:t xml:space="preserve">requirement</w:t>
      </w:r>
      <w:r>
        <w:t xml:space="preserve"> </w:t>
      </w:r>
      <w:r>
        <w:t xml:space="preserve">fields. The compliance run reads the</w:t>
      </w:r>
      <w:r>
        <w:t xml:space="preserve"> </w:t>
      </w:r>
      <w:r>
        <w:rPr>
          <w:rStyle w:val="VerbatimChar"/>
        </w:rPr>
        <w:t xml:space="preserve">acceptance</w:t>
      </w:r>
      <w:r>
        <w:t xml:space="preserve"> </w:t>
      </w:r>
      <w:r>
        <w:t xml:space="preserve">fields and writes one verdict per ID back into the traceability matrix. Same file, both directions — that is the dual-use property we were after.</w:t>
      </w:r>
    </w:p>
    <w:p>
      <w:r>
        <w:pict>
          <v:rect style="width:0;height:1.5pt" o:hralign="center" o:hrstd="t" o:hr="t"/>
        </w:pict>
      </w:r>
    </w:p>
    <w:bookmarkEnd w:id="50"/>
    <w:bookmarkStart w:id="51" w:name="Xa8136b1172ff5028174273be39dc8f5b8678c3f"/>
    <w:p>
      <w:pPr>
        <w:pStyle w:val="Heading2"/>
      </w:pPr>
      <w:r>
        <w:t xml:space="preserve">BACKUP SLIDE A — The five EARS patterns, with our own examples</w:t>
      </w:r>
    </w:p>
    <w:p>
      <w:pPr>
        <w:pStyle w:val="BlockText"/>
      </w:pPr>
      <w:r>
        <w:t xml:space="preserve">📎 Pattern definitions:</w:t>
      </w:r>
      <w:r>
        <w:t xml:space="preserve"> </w:t>
      </w:r>
      <w:hyperlink r:id="rId14">
        <w:r>
          <w:rPr>
            <w:rStyle w:val="Hyperlink"/>
          </w:rPr>
          <w:t xml:space="preserve">alistairmavin.com/ears</w:t>
        </w:r>
      </w:hyperlink>
      <w:r>
        <w:t xml:space="preserve"> </w:t>
      </w:r>
      <w:r>
        <w:t xml:space="preserve">· Our records:</w:t>
      </w:r>
      <w:r>
        <w:t xml:space="preserve"> </w:t>
      </w:r>
      <w:hyperlink r:id="rId22">
        <w:r>
          <w:rPr>
            <w:rStyle w:val="VerbatimChar"/>
          </w:rPr>
          <w:t xml:space="preserve">requirements_doc/requirements.md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Our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Ubiquitous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&lt;system&gt;</w:t>
            </w:r>
            <w:r>
              <w:t xml:space="preserve"> </w:t>
            </w:r>
            <w:r>
              <w:t xml:space="preserve">shall</w:t>
            </w:r>
            <w:r>
              <w:t xml:space="preserve"> </w:t>
            </w:r>
            <w:r>
              <w:rPr>
                <w:rStyle w:val="VerbatimChar"/>
              </w:rPr>
              <w:t xml:space="preserve">&lt;response&gt;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FR-GRID-001</w:t>
            </w:r>
            <w:r>
              <w:t xml:space="preserve"> </w:t>
            </w:r>
            <w:r>
              <w:t xml:space="preserve">— The game shall provide a playfield 10 cells wide and 20 cells high.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Event-driven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&lt;trigger&gt;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&lt;system&gt;</w:t>
            </w:r>
            <w:r>
              <w:t xml:space="preserve"> </w:t>
            </w:r>
            <w:r>
              <w:t xml:space="preserve">shall</w:t>
            </w:r>
            <w:r>
              <w:t xml:space="preserve"> </w:t>
            </w:r>
            <w:r>
              <w:rPr>
                <w:rStyle w:val="VerbatimChar"/>
              </w:rPr>
              <w:t xml:space="preserve">&lt;response&gt;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FR-MOVE-005</w:t>
            </w:r>
            <w:r>
              <w:t xml:space="preserve"> </w:t>
            </w:r>
            <w:r>
              <w:t xml:space="preserve">— When the user presses Hard Drop, the game shall instantly move the active piece to its landing position and lock it there.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State-driven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&lt;state&gt;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&lt;system&gt;</w:t>
            </w:r>
            <w:r>
              <w:t xml:space="preserve"> </w:t>
            </w:r>
            <w:r>
              <w:t xml:space="preserve">shall</w:t>
            </w:r>
            <w:r>
              <w:t xml:space="preserve"> </w:t>
            </w:r>
            <w:r>
              <w:rPr>
                <w:rStyle w:val="VerbatimChar"/>
              </w:rPr>
              <w:t xml:space="preserve">&lt;response&gt;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FR-LIFE-005</w:t>
            </w:r>
            <w:r>
              <w:t xml:space="preserve"> </w:t>
            </w:r>
            <w:r>
              <w:t xml:space="preserve">— While the game is paused, the game shall ignore all input except Resume.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&lt;feature&gt;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&lt;system&gt;</w:t>
            </w:r>
            <w:r>
              <w:t xml:space="preserve"> </w:t>
            </w:r>
            <w:r>
              <w:t xml:space="preserve">shall</w:t>
            </w:r>
            <w:r>
              <w:t xml:space="preserve"> </w:t>
            </w:r>
            <w:r>
              <w:rPr>
                <w:rStyle w:val="VerbatimChar"/>
              </w:rPr>
              <w:t xml:space="preserve">&lt;response&gt;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Audio/vibration items, gated by availability (</w:t>
            </w:r>
            <w:r>
              <w:rPr>
                <w:rStyle w:val="VerbatimChar"/>
              </w:rPr>
              <w:t xml:space="preserve">NFR-COMPAT-003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Unwanted behaviour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&lt;condition&gt;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then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&lt;system&gt;</w:t>
            </w:r>
            <w:r>
              <w:t xml:space="preserve"> </w:t>
            </w:r>
            <w:r>
              <w:t xml:space="preserve">shall</w:t>
            </w:r>
            <w:r>
              <w:t xml:space="preserve"> </w:t>
            </w:r>
            <w:r>
              <w:rPr>
                <w:rStyle w:val="VerbatimChar"/>
              </w:rPr>
              <w:t xml:space="preserve">&lt;response&gt;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FR-ERR-005</w:t>
            </w:r>
            <w:r>
              <w:t xml:space="preserve"> </w:t>
            </w:r>
            <w:r>
              <w:t xml:space="preserve">— If localStorage is unavailable, quota-exceeded, or in private mode, then the game shall degrade persistence gracefully and remain playable.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split in action</w:t>
      </w:r>
      <w:r>
        <w:t xml:space="preserve"> </w:t>
      </w:r>
      <w:r>
        <w:t xml:space="preserve">— one vague prose bullet became two atoms:</w:t>
      </w:r>
    </w:p>
    <w:p>
      <w:pPr>
        <w:pStyle w:val="BlockText"/>
      </w:pPr>
      <w:r>
        <w:rPr>
          <w:i/>
          <w:iCs/>
        </w:rPr>
        <w:t xml:space="preserve">Before:</w:t>
      </w:r>
      <w:r>
        <w:t xml:space="preserve"> </w:t>
      </w:r>
      <w:r>
        <w:t xml:space="preserve">“Left/right moves the piece one column if it’s in bounds and not blocked.”</w:t>
      </w:r>
    </w:p>
    <w:p>
      <w:pPr>
        <w:pStyle w:val="BlockText"/>
      </w:pPr>
      <w:r>
        <w:rPr>
          <w:i/>
          <w:iCs/>
        </w:rPr>
        <w:t xml:space="preserve">After:</w:t>
      </w:r>
      <w:r>
        <w:t xml:space="preserve"> </w:t>
      </w:r>
      <w:r>
        <w:rPr>
          <w:rStyle w:val="VerbatimChar"/>
        </w:rPr>
        <w:t xml:space="preserve">FR-MOVE-001</w:t>
      </w:r>
      <w:r>
        <w:t xml:space="preserve"> </w:t>
      </w:r>
      <w:r>
        <w:t xml:space="preserve">(event-driven) — When the user presses Left or Right, the game shall move the active piece exactly one column in that direction if the target cells are empty and within bounds.</w:t>
      </w:r>
      <w:r>
        <w:t xml:space="preserve"> </w:t>
      </w:r>
      <w:r>
        <w:rPr>
          <w:rStyle w:val="VerbatimChar"/>
        </w:rPr>
        <w:t xml:space="preserve">FR-MOVE-002</w:t>
      </w:r>
      <w:r>
        <w:t xml:space="preserve"> </w:t>
      </w:r>
      <w:r>
        <w:t xml:space="preserve">(unwanted) — If a Left or Right move would cross the field boundary or overlap a locked cell, then the game shall reject the move and leave the piece unchanged.</w:t>
      </w:r>
    </w:p>
    <w:p>
      <w:pPr>
        <w:pStyle w:val="FirstParagraph"/>
      </w:pPr>
      <w:r>
        <w:t xml:space="preserve">Two atoms → two independent verdicts. The old single bullet could be</w:t>
      </w:r>
      <w:r>
        <w:t xml:space="preserve"> </w:t>
      </w:r>
      <w:r>
        <w:t xml:space="preserve">“half-passed”</w:t>
      </w:r>
      <w:r>
        <w:t xml:space="preserve"> </w:t>
      </w:r>
      <w:r>
        <w:t xml:space="preserve">and no one would know which half.</w:t>
      </w:r>
    </w:p>
    <w:p>
      <w:r>
        <w:pict>
          <v:rect style="width:0;height:1.5pt" o:hralign="center" o:hrstd="t" o:hr="t"/>
        </w:pict>
      </w:r>
    </w:p>
    <w:bookmarkEnd w:id="51"/>
    <w:bookmarkStart w:id="54" w:name="Xf858df3c3513c1aff58639a3508a08d42e5467d"/>
    <w:p>
      <w:pPr>
        <w:pStyle w:val="Heading2"/>
      </w:pPr>
      <w:r>
        <w:t xml:space="preserve">BACKUP SLIDE B — The ISO/IEC/IEEE 29148 quality gate</w:t>
      </w:r>
    </w:p>
    <w:p>
      <w:pPr>
        <w:pStyle w:val="BlockText"/>
      </w:pPr>
      <w:r>
        <w:t xml:space="preserve">📎</w:t>
      </w:r>
      <w:r>
        <w:t xml:space="preserve"> </w:t>
      </w:r>
      <w:hyperlink r:id="rId17">
        <w:r>
          <w:rPr>
            <w:rStyle w:val="Hyperlink"/>
          </w:rPr>
          <w:t xml:space="preserve">ISO/IEC/IEEE 29148:2018 (IEEE SA)</w:t>
        </w:r>
      </w:hyperlink>
      <w:r>
        <w:t xml:space="preserve"> </w:t>
      </w:r>
      <w:r>
        <w:t xml:space="preserve">·</w:t>
      </w:r>
      <w:r>
        <w:t xml:space="preserve"> </w:t>
      </w:r>
      <w:hyperlink r:id="rId52">
        <w:r>
          <w:rPr>
            <w:rStyle w:val="Hyperlink"/>
          </w:rPr>
          <w:t xml:space="preserve">INVEST criteria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MoSCoW prioritization</w:t>
        </w:r>
      </w:hyperlink>
    </w:p>
    <w:p>
      <w:pPr>
        <w:pStyle w:val="FirstParagraph"/>
      </w:pPr>
      <w:r>
        <w:t xml:space="preserve">Every rewritten line was linted against the standard’s nine characteristics of a good requirement:</w:t>
      </w:r>
    </w:p>
    <w:p>
      <w:pPr>
        <w:pStyle w:val="BodyText"/>
      </w:pPr>
      <w:r>
        <w:rPr>
          <w:rStyle w:val="VerbatimChar"/>
        </w:rPr>
        <w:t xml:space="preserve">Appropriate · Complete · Conforming · Correct · Feasible · Necessary · Singular · Unambiguous · Verifiable</w:t>
      </w:r>
    </w:p>
    <w:p>
      <w:pPr>
        <w:pStyle w:val="BodyText"/>
      </w:pPr>
      <w:r>
        <w:t xml:space="preserve">Two do the heavy lifting for us: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Singular</w:t>
      </w:r>
      <w:r>
        <w:t xml:space="preserve"> </w:t>
      </w:r>
      <w:r>
        <w:t xml:space="preserve">= atomic = one</w:t>
      </w:r>
      <w:r>
        <w:t xml:space="preserve"> </w:t>
      </w:r>
      <w:r>
        <w:rPr>
          <w:rStyle w:val="VerbatimChar"/>
        </w:rPr>
        <w:t xml:space="preserve">SHALL</w:t>
      </w:r>
      <w:r>
        <w:t xml:space="preserve">. If it needs an</w:t>
      </w:r>
      <w:r>
        <w:t xml:space="preserve"> </w:t>
      </w:r>
      <w:r>
        <w:t xml:space="preserve">“and”</w:t>
      </w:r>
      <w:r>
        <w:t xml:space="preserve"> </w:t>
      </w:r>
      <w:r>
        <w:t xml:space="preserve">between obligations, split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Verifiable</w:t>
      </w:r>
      <w:r>
        <w:t xml:space="preserve"> </w:t>
      </w:r>
      <w:r>
        <w:t xml:space="preserve">= a Gherkin scenario can be written for it. If you can’t write the</w:t>
      </w:r>
      <w:r>
        <w:t xml:space="preserve"> </w:t>
      </w:r>
      <w:r>
        <w:rPr>
          <w:rStyle w:val="VerbatimChar"/>
        </w:rPr>
        <w:t xml:space="preserve">Then</w:t>
      </w:r>
      <w:r>
        <w:t xml:space="preserve">, the requirement is not a requirement yet.</w:t>
      </w:r>
    </w:p>
    <w:p>
      <w:pPr>
        <w:pStyle w:val="FirstParagraph"/>
      </w:pPr>
      <w:r>
        <w:t xml:space="preserve">Each record records which characteristics it asserts (</w:t>
      </w:r>
      <w:r>
        <w:rPr>
          <w:rStyle w:val="VerbatimChar"/>
        </w:rPr>
        <w:t xml:space="preserve">quality_check: [singular, verifiable, unambiguous]</w:t>
      </w:r>
      <w:r>
        <w:t xml:space="preserve">), so the lint is itself auditable.</w:t>
      </w:r>
    </w:p>
    <w:p>
      <w:r>
        <w:pict>
          <v:rect style="width:0;height:1.5pt" o:hralign="center" o:hrstd="t" o:hr="t"/>
        </w:pict>
      </w:r>
    </w:p>
    <w:bookmarkEnd w:id="54"/>
    <w:bookmarkStart w:id="67" w:name="references-full-list"/>
    <w:p>
      <w:pPr>
        <w:pStyle w:val="Heading2"/>
      </w:pPr>
      <w:r>
        <w:t xml:space="preserve">REFERENCES — full list</w:t>
      </w:r>
    </w:p>
    <w:bookmarkStart w:id="62" w:name="industry-frameworks-standards"/>
    <w:p>
      <w:pPr>
        <w:pStyle w:val="Heading3"/>
      </w:pPr>
      <w:r>
        <w:t xml:space="preserve">Industry frameworks &amp;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Where it’s used in the deck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Kiro</w:t>
            </w:r>
            <w:r>
              <w:t xml:space="preserve"> </w:t>
            </w:r>
            <w:r>
              <w:t xml:space="preserve">— spec-driven agentic IDE (EARS</w:t>
            </w:r>
            <w:r>
              <w:t xml:space="preserve"> </w:t>
            </w:r>
            <w:r>
              <w:rPr>
                <w:rStyle w:val="VerbatimChar"/>
              </w:rPr>
              <w:t xml:space="preserve">requirements.md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Pipeline shape; EARS format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feature specs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intro post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Spec Kit</w:t>
            </w:r>
            <w:r>
              <w:t xml:space="preserve"> </w:t>
            </w:r>
            <w:r>
              <w:t xml:space="preserve">— open-source, agent-agnostic SDD toolkit</w:t>
            </w:r>
          </w:p>
        </w:tc>
        <w:tc>
          <w:tcPr/>
          <w:p>
            <w:pPr>
              <w:pStyle w:val="Compact"/>
            </w:pPr>
            <w:r>
              <w:t xml:space="preserve">Pipeline shape; templates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repo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docs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GitHub blog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MS Dev blog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EARS</w:t>
            </w:r>
            <w:r>
              <w:t xml:space="preserve"> </w:t>
            </w:r>
            <w:r>
              <w:t xml:space="preserve">— Easy Approach to Requirements Syntax (Mavin et al., Rolls-Royce, 2009)</w:t>
            </w:r>
          </w:p>
        </w:tc>
        <w:tc>
          <w:tcPr/>
          <w:p>
            <w:pPr>
              <w:pStyle w:val="Compact"/>
            </w:pPr>
            <w:r>
              <w:t xml:space="preserve">Requirement layer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official guide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original paper (PDF)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Gherkin / BDD</w:t>
            </w:r>
            <w:r>
              <w:t xml:space="preserve"> </w:t>
            </w:r>
            <w:r>
              <w:t xml:space="preserve">(Cucumber)</w:t>
            </w:r>
          </w:p>
        </w:tc>
        <w:tc>
          <w:tcPr/>
          <w:p>
            <w:pPr>
              <w:pStyle w:val="Compact"/>
            </w:pPr>
            <w:r>
              <w:t xml:space="preserve">Acceptance layer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Gherkin reference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BDD overview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Working Backwards</w:t>
            </w:r>
            <w:r>
              <w:t xml:space="preserve"> </w:t>
            </w:r>
            <w:r>
              <w:t xml:space="preserve">— PR/FAQ</w:t>
            </w:r>
          </w:p>
        </w:tc>
        <w:tc>
          <w:tcPr/>
          <w:p>
            <w:pPr>
              <w:pStyle w:val="Compact"/>
            </w:pPr>
            <w:r>
              <w:t xml:space="preserve">Intent layer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PR/FAQ template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AWS Prescriptive Guidance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Design Docs</w:t>
            </w:r>
            <w:r>
              <w:t xml:space="preserve"> </w:t>
            </w:r>
            <w:r>
              <w:t xml:space="preserve">— design review before code</w:t>
            </w:r>
          </w:p>
        </w:tc>
        <w:tc>
          <w:tcPr/>
          <w:p>
            <w:pPr>
              <w:pStyle w:val="Compact"/>
            </w:pPr>
            <w:r>
              <w:t xml:space="preserve">Intent layer; gating pattern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Design Docs at Google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eng-practices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SWE at Google, ch. 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ISO/IEC/IEEE 29148:2018</w:t>
            </w:r>
            <w:r>
              <w:t xml:space="preserve"> </w:t>
            </w:r>
            <w:r>
              <w:t xml:space="preserve">— requirements engineering</w:t>
            </w:r>
          </w:p>
        </w:tc>
        <w:tc>
          <w:tcPr/>
          <w:p>
            <w:pPr>
              <w:pStyle w:val="Compact"/>
            </w:pPr>
            <w:r>
              <w:t xml:space="preserve">Quality gate (9 characteristics)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IEEE SA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 / MoSCoW</w:t>
            </w:r>
          </w:p>
        </w:tc>
        <w:tc>
          <w:tcPr/>
          <w:p>
            <w:pPr>
              <w:pStyle w:val="Compact"/>
            </w:pPr>
            <w:r>
              <w:t xml:space="preserve">Atomicity + priority fields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INVEST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MoSCoW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CLAUDE.md</w:t>
            </w:r>
            <w:r>
              <w:t xml:space="preserve"> </w:t>
            </w:r>
            <w:r>
              <w:t xml:space="preserve">— constitution role</w:t>
            </w:r>
          </w:p>
        </w:tc>
        <w:tc>
          <w:tcPr/>
          <w:p>
            <w:pPr>
              <w:pStyle w:val="Compact"/>
            </w:pPr>
            <w:r>
              <w:t xml:space="preserve">Standing constraints layer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Claude Code docs</w:t>
              </w:r>
            </w:hyperlink>
          </w:p>
        </w:tc>
      </w:tr>
    </w:tbl>
    <w:bookmarkEnd w:id="62"/>
    <w:bookmarkStart w:id="65" w:name="academic-papers"/>
    <w:p>
      <w:pPr>
        <w:pStyle w:val="Heading3"/>
      </w:pPr>
      <w:r>
        <w:t xml:space="preserve">Academic papers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Claim it supports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Local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ArchCode</w:t>
            </w:r>
            <w:r>
              <w:t xml:space="preserve"> </w:t>
            </w:r>
            <w:r>
              <w:t xml:space="preserve">— requirements (stated + unstated) in LLM code generation, one test per requirement</w:t>
            </w:r>
          </w:p>
        </w:tc>
        <w:tc>
          <w:tcPr/>
          <w:p>
            <w:pPr>
              <w:pStyle w:val="Compact"/>
            </w:pPr>
            <w:r>
              <w:t xml:space="preserve">Requirements as generator input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grader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arXiv 2408.00994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Specine</w:t>
            </w:r>
            <w:r>
              <w:t xml:space="preserve"> </w:t>
            </w:r>
            <w:r>
              <w:t xml:space="preserve">— aligning requirements for code generation</w:t>
            </w:r>
          </w:p>
        </w:tc>
        <w:tc>
          <w:tcPr/>
          <w:p>
            <w:pPr>
              <w:pStyle w:val="Compact"/>
            </w:pPr>
            <w:r>
              <w:t xml:space="preserve">Requirement quality → code quality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arXiv 2509.01313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CodeIF</w:t>
            </w:r>
            <w:r>
              <w:t xml:space="preserve"> </w:t>
            </w:r>
            <w:r>
              <w:t xml:space="preserve">— instruction/requirement following benchmark</w:t>
            </w:r>
          </w:p>
        </w:tc>
        <w:tc>
          <w:tcPr/>
          <w:p>
            <w:pPr>
              <w:pStyle w:val="Compact"/>
            </w:pPr>
            <w:r>
              <w:t xml:space="preserve">Why requirements must be atomic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arXiv 2502.19166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2502.19166.md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SR-Eval</w:t>
            </w:r>
            <w:r>
              <w:t xml:space="preserve"> </w:t>
            </w:r>
            <w:r>
              <w:t xml:space="preserve">— stepwise-refined requirement following</w:t>
            </w:r>
          </w:p>
        </w:tc>
        <w:tc>
          <w:tcPr/>
          <w:p>
            <w:pPr>
              <w:pStyle w:val="Compact"/>
            </w:pPr>
            <w:r>
              <w:t xml:space="preserve">Why requirements must be ordered/atomic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arXiv 2509.18808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2509.18808.md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RocketEval</w:t>
            </w:r>
            <w:r>
              <w:t xml:space="preserve"> </w:t>
            </w:r>
            <w:r>
              <w:t xml:space="preserve">— checklist-structured LLM grading</w:t>
            </w:r>
          </w:p>
        </w:tc>
        <w:tc>
          <w:tcPr/>
          <w:p>
            <w:pPr>
              <w:pStyle w:val="Compact"/>
            </w:pPr>
            <w:r>
              <w:t xml:space="preserve">Checklist &gt; free-form judging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arXiv 2503.05142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2503.05142.md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Rubric Is All You Need</w:t>
            </w:r>
          </w:p>
        </w:tc>
        <w:tc>
          <w:tcPr/>
          <w:p>
            <w:pPr>
              <w:pStyle w:val="Compact"/>
            </w:pPr>
            <w:r>
              <w:t xml:space="preserve">Rubric/checklist grading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arXiv 2503.23989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2503.23989.md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AutoUAT / TestFlow</w:t>
            </w:r>
            <w:r>
              <w:t xml:space="preserve"> </w:t>
            </w:r>
            <w:r>
              <w:t xml:space="preserve">— acceptance-test generation</w:t>
            </w:r>
          </w:p>
        </w:tc>
        <w:tc>
          <w:tcPr/>
          <w:p>
            <w:pPr>
              <w:pStyle w:val="Compact"/>
            </w:pPr>
            <w:r>
              <w:t xml:space="preserve">Gherkin → executable oracle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arXiv 2504.07244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2504.07244.md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</w:t>
            </w:r>
            <w:r>
              <w:t xml:space="preserve"> </w:t>
            </w:r>
            <w:r>
              <w:t xml:space="preserve">— acceptance-test generation in industry</w:t>
            </w:r>
          </w:p>
        </w:tc>
        <w:tc>
          <w:tcPr/>
          <w:p>
            <w:pPr>
              <w:pStyle w:val="Compact"/>
            </w:pPr>
            <w:r>
              <w:t xml:space="preserve">Gherkin → executable oracle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arXiv 2510.18861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2510.18861v1.md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Masuda et al.</w:t>
            </w:r>
            <w:r>
              <w:t xml:space="preserve"> </w:t>
            </w:r>
            <w:r>
              <w:t xml:space="preserve">— acceptance-test generation</w:t>
            </w:r>
          </w:p>
        </w:tc>
        <w:tc>
          <w:tcPr/>
          <w:p>
            <w:pPr>
              <w:pStyle w:val="Compact"/>
            </w:pPr>
            <w:r>
              <w:t xml:space="preserve">Gherkin → executable oracle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arXiv 2510.03641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2510.03641.md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Graph-RAG + prompt engineering for traceability/compliance</w:t>
            </w:r>
          </w:p>
        </w:tc>
        <w:tc>
          <w:tcPr/>
          <w:p>
            <w:pPr>
              <w:pStyle w:val="Compact"/>
            </w:pPr>
            <w:r>
              <w:t xml:space="preserve">Traceability matrix design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arXiv 2412.08593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2412.08593.md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R2C traceability</w:t>
            </w:r>
            <w:r>
              <w:t xml:space="preserve"> </w:t>
            </w:r>
            <w:r>
              <w:t xml:space="preserve">— synergistic requirement-to-code</w:t>
            </w:r>
          </w:p>
        </w:tc>
        <w:tc>
          <w:tcPr/>
          <w:p>
            <w:pPr>
              <w:pStyle w:val="Compact"/>
            </w:pPr>
            <w:r>
              <w:t xml:space="preserve">Traceability matrix design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arXiv 2509.20149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Jin &amp; Chen</w:t>
            </w:r>
            <w:r>
              <w:t xml:space="preserve"> </w:t>
            </w:r>
            <w:r>
              <w:t xml:space="preserve">— systematic failures verifying code against NL specs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Caveat:</w:t>
            </w:r>
            <w:r>
              <w:t xml:space="preserve"> </w:t>
            </w:r>
            <w:r>
              <w:t xml:space="preserve">why we prefer deterministic checks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arXiv 2508.12358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2508.12358.md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LLM-as-a-Judge for SE</w:t>
            </w:r>
            <w:r>
              <w:t xml:space="preserve"> </w:t>
            </w:r>
            <w:r>
              <w:t xml:space="preserve">— literature review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Caveat:</w:t>
            </w:r>
            <w:r>
              <w:t xml:space="preserve"> </w:t>
            </w:r>
            <w:r>
              <w:t xml:space="preserve">judge limitations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arXiv 2510.24367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2510.24367.md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From Law to Gherkin</w:t>
            </w:r>
            <w:r>
              <w:t xml:space="preserve"> </w:t>
            </w:r>
            <w:r>
              <w:t xml:space="preserve">— BDD scenarios from regulations</w:t>
            </w:r>
          </w:p>
        </w:tc>
        <w:tc>
          <w:tcPr/>
          <w:p>
            <w:pPr>
              <w:pStyle w:val="Compact"/>
            </w:pPr>
            <w:r>
              <w:t xml:space="preserve">LLMs can draft Gherkin, with oversight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arXiv 2508.20744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+ BDD test generation</w:t>
            </w:r>
            <w:r>
              <w:t xml:space="preserve"> </w:t>
            </w:r>
            <w:r>
              <w:t xml:space="preserve">(SCITEPRESS 2025)</w:t>
            </w:r>
          </w:p>
        </w:tc>
        <w:tc>
          <w:tcPr/>
          <w:p>
            <w:pPr>
              <w:pStyle w:val="Compact"/>
            </w:pPr>
            <w:r>
              <w:t xml:space="preserve">~95% helpfulness, human oversight required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PDF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LLMs for Requirements Engineering</w:t>
            </w:r>
            <w:r>
              <w:t xml:space="preserve"> </w:t>
            </w:r>
            <w:r>
              <w:t xml:space="preserve">— systematic literature review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arXiv 2509.11446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Citation hygiene:</w:t>
      </w:r>
      <w:r>
        <w:t xml:space="preserve"> </w:t>
      </w:r>
      <w:r>
        <w:t xml:space="preserve">future-dated arXiv IDs flagged</w:t>
      </w:r>
      <w:r>
        <w:t xml:space="preserve"> </w:t>
      </w:r>
      <w:r>
        <w:rPr>
          <w:i/>
          <w:iCs/>
        </w:rPr>
        <w:t xml:space="preserve">do-not-cite</w:t>
      </w:r>
      <w:r>
        <w:t xml:space="preserve"> </w:t>
      </w:r>
      <w:r>
        <w:t xml:space="preserve">in</w:t>
      </w:r>
      <w:r>
        <w:t xml:space="preserve"> </w:t>
      </w:r>
      <w:hyperlink r:id="rId47">
        <w:r>
          <w:rPr>
            <w:rStyle w:val="VerbatimChar"/>
          </w:rPr>
          <w:t xml:space="preserve">papers_list.md</w:t>
        </w:r>
      </w:hyperlink>
      <w:r>
        <w:t xml:space="preserve"> </w:t>
      </w:r>
      <w:r>
        <w:t xml:space="preserve">(e.g. </w:t>
      </w:r>
      <w:r>
        <w:rPr>
          <w:rStyle w:val="VerbatimChar"/>
        </w:rPr>
        <w:t xml:space="preserve">2603.00539</w:t>
      </w:r>
      <w:r>
        <w:t xml:space="preserve"> </w:t>
      </w:r>
      <w:r>
        <w:t xml:space="preserve">overcorrection,</w:t>
      </w:r>
      <w:r>
        <w:t xml:space="preserve"> </w:t>
      </w:r>
      <w:r>
        <w:rPr>
          <w:rStyle w:val="VerbatimChar"/>
        </w:rPr>
        <w:t xml:space="preserve">2602.01253</w:t>
      </w:r>
      <w:r>
        <w:t xml:space="preserve"> </w:t>
      </w:r>
      <w:r>
        <w:t xml:space="preserve">TraceLLM,</w:t>
      </w:r>
      <w:r>
        <w:t xml:space="preserve"> </w:t>
      </w:r>
      <w:r>
        <w:rPr>
          <w:rStyle w:val="VerbatimChar"/>
        </w:rPr>
        <w:t xml:space="preserve">2603.13999</w:t>
      </w:r>
      <w:r>
        <w:t xml:space="preserve">,</w:t>
      </w:r>
      <w:r>
        <w:t xml:space="preserve"> </w:t>
      </w:r>
      <w:r>
        <w:rPr>
          <w:rStyle w:val="VerbatimChar"/>
        </w:rPr>
        <w:t xml:space="preserve">2601.11688</w:t>
      </w:r>
      <w:r>
        <w:t xml:space="preserve">) are</w:t>
      </w:r>
      <w:r>
        <w:t xml:space="preserve"> </w:t>
      </w:r>
      <w:r>
        <w:rPr>
          <w:b/>
          <w:bCs/>
        </w:rPr>
        <w:t xml:space="preserve">deliberately excluded</w:t>
      </w:r>
      <w:r>
        <w:t xml:space="preserve"> </w:t>
      </w:r>
      <w:r>
        <w:t xml:space="preserve">from this deck — verify before using them in any published version.</w:t>
      </w:r>
    </w:p>
    <w:bookmarkEnd w:id="65"/>
    <w:bookmarkStart w:id="66" w:name="project-artifacts"/>
    <w:p>
      <w:pPr>
        <w:pStyle w:val="Heading3"/>
      </w:pPr>
      <w:r>
        <w:t xml:space="preserve">Project artifacts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acceptance_criteria_tetris.md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Original prose criteria (the</w:t>
            </w:r>
            <w:r>
              <w:t xml:space="preserve"> </w:t>
            </w:r>
            <w:r>
              <w:t xml:space="preserve">“before”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requirements_doc_standard.md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standard / methodology we defined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requirements_doc/requirements.md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93 EARS + Gherkin atoms (the</w:t>
            </w:r>
            <w:r>
              <w:t xml:space="preserve"> </w:t>
            </w:r>
            <w:r>
              <w:t xml:space="preserve">“after”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requirements_doc/traceability.md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 row per ID: status · evidence · notes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compliance.md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Applied compliance machinery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g_eval_metric.md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Evaluation-metric work</w:t>
            </w:r>
          </w:p>
        </w:tc>
      </w:tr>
      <w:tr>
        <w:tc>
          <w:tcPr/>
          <w:p>
            <w:pPr>
              <w:pStyle w:val="Compact"/>
            </w:pPr>
            <w:hyperlink r:id="rId47">
              <w:r>
                <w:rPr>
                  <w:rStyle w:val="VerbatimChar"/>
                </w:rPr>
                <w:t xml:space="preserve">papers_list.md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paper index + do-not-cite list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One-line framework roll-call for the closing slide:</w:t>
      </w:r>
      <w:r>
        <w:t xml:space="preserve"> </w:t>
      </w:r>
      <w:hyperlink r:id="rId15">
        <w:r>
          <w:rPr>
            <w:rStyle w:val="Hyperlink"/>
          </w:rPr>
          <w:t xml:space="preserve">Amazon Kiro</w:t>
        </w:r>
      </w:hyperlink>
      <w:r>
        <w:t xml:space="preserve"> </w:t>
      </w:r>
      <w:r>
        <w:t xml:space="preserve">·</w:t>
      </w:r>
      <w:r>
        <w:t xml:space="preserve"> </w:t>
      </w:r>
      <w:hyperlink r:id="rId19">
        <w:r>
          <w:rPr>
            <w:rStyle w:val="Hyperlink"/>
          </w:rPr>
          <w:t xml:space="preserve">GitHub Spec Kit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AWS Working Backwards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Google Design Docs</w:t>
        </w:r>
      </w:hyperlink>
      <w:r>
        <w:t xml:space="preserve"> </w:t>
      </w:r>
      <w:r>
        <w:t xml:space="preserve">·</w:t>
      </w:r>
      <w:r>
        <w:t xml:space="preserve"> </w:t>
      </w:r>
      <w:hyperlink r:id="rId14">
        <w:r>
          <w:rPr>
            <w:rStyle w:val="Hyperlink"/>
          </w:rPr>
          <w:t xml:space="preserve">EARS</w:t>
        </w:r>
      </w:hyperlink>
      <w:r>
        <w:t xml:space="preserve"> </w:t>
      </w:r>
      <w:r>
        <w:t xml:space="preserve">·</w:t>
      </w:r>
      <w:r>
        <w:t xml:space="preserve"> </w:t>
      </w:r>
      <w:hyperlink r:id="rId16">
        <w:r>
          <w:rPr>
            <w:rStyle w:val="Hyperlink"/>
          </w:rPr>
          <w:t xml:space="preserve">Gherkin–BDD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Hyperlink"/>
          </w:rPr>
          <w:t xml:space="preserve">ISO/IEC/IEEE 29148:2018</w:t>
        </w:r>
      </w:hyperlink>
      <w:r>
        <w:t xml:space="preserve"> </w:t>
      </w:r>
      <w:r>
        <w:t xml:space="preserve">· INVEST / MoSCoW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acceptance_criteria_tetris.md" TargetMode="External" /><Relationship Type="http://schemas.openxmlformats.org/officeDocument/2006/relationships/hyperlink" Id="rId34" Target="./compliance.md" TargetMode="External" /><Relationship Type="http://schemas.openxmlformats.org/officeDocument/2006/relationships/hyperlink" Id="rId35" Target="./g_eval_metric.md" TargetMode="External" /><Relationship Type="http://schemas.openxmlformats.org/officeDocument/2006/relationships/hyperlink" Id="rId47" Target="./papers_list.md" TargetMode="External" /><Relationship Type="http://schemas.openxmlformats.org/officeDocument/2006/relationships/hyperlink" Id="rId22" Target="./requirements_doc/requirements.md" TargetMode="External" /><Relationship Type="http://schemas.openxmlformats.org/officeDocument/2006/relationships/hyperlink" Id="rId33" Target="./requirements_doc/traceability.md" TargetMode="External" /><Relationship Type="http://schemas.openxmlformats.org/officeDocument/2006/relationships/hyperlink" Id="rId11" Target="./requirements_doc_standard.md" TargetMode="External" /><Relationship Type="http://schemas.openxmlformats.org/officeDocument/2006/relationships/hyperlink" Id="rId60" Target="https://abseil.io/resources/swe-book/html/ch10.html" TargetMode="External" /><Relationship Type="http://schemas.openxmlformats.org/officeDocument/2006/relationships/hyperlink" Id="rId14" Target="https://alistairmavin.com/ears/" TargetMode="External" /><Relationship Type="http://schemas.openxmlformats.org/officeDocument/2006/relationships/hyperlink" Id="rId40" Target="https://arxiv.org/abs/2408.00994" TargetMode="External" /><Relationship Type="http://schemas.openxmlformats.org/officeDocument/2006/relationships/hyperlink" Id="rId42" Target="https://arxiv.org/abs/2502.19166" TargetMode="External" /><Relationship Type="http://schemas.openxmlformats.org/officeDocument/2006/relationships/hyperlink" Id="rId29" Target="https://arxiv.org/abs/2503.05142" TargetMode="External" /><Relationship Type="http://schemas.openxmlformats.org/officeDocument/2006/relationships/hyperlink" Id="rId30" Target="https://arxiv.org/abs/2503.23989" TargetMode="External" /><Relationship Type="http://schemas.openxmlformats.org/officeDocument/2006/relationships/hyperlink" Id="rId44" Target="https://arxiv.org/abs/2504.07244" TargetMode="External" /><Relationship Type="http://schemas.openxmlformats.org/officeDocument/2006/relationships/hyperlink" Id="rId26" Target="https://arxiv.org/abs/2508.12358" TargetMode="External" /><Relationship Type="http://schemas.openxmlformats.org/officeDocument/2006/relationships/hyperlink" Id="rId25" Target="https://arxiv.org/abs/2508.20744" TargetMode="External" /><Relationship Type="http://schemas.openxmlformats.org/officeDocument/2006/relationships/hyperlink" Id="rId41" Target="https://arxiv.org/abs/2509.01313" TargetMode="External" /><Relationship Type="http://schemas.openxmlformats.org/officeDocument/2006/relationships/hyperlink" Id="rId43" Target="https://arxiv.org/abs/2509.18808" TargetMode="External" /><Relationship Type="http://schemas.openxmlformats.org/officeDocument/2006/relationships/hyperlink" Id="rId63" Target="https://arxiv.org/abs/2509.20149" TargetMode="External" /><Relationship Type="http://schemas.openxmlformats.org/officeDocument/2006/relationships/hyperlink" Id="rId46" Target="https://arxiv.org/abs/2510.03641" TargetMode="External" /><Relationship Type="http://schemas.openxmlformats.org/officeDocument/2006/relationships/hyperlink" Id="rId64" Target="https://arxiv.org/html/2509.11446v1" TargetMode="External" /><Relationship Type="http://schemas.openxmlformats.org/officeDocument/2006/relationships/hyperlink" Id="rId45" Target="https://arxiv.org/html/2510.18861v1" TargetMode="External" /><Relationship Type="http://schemas.openxmlformats.org/officeDocument/2006/relationships/hyperlink" Id="rId37" Target="https://arxiv.org/pdf/2412.08593" TargetMode="External" /><Relationship Type="http://schemas.openxmlformats.org/officeDocument/2006/relationships/hyperlink" Id="rId38" Target="https://arxiv.org/pdf/2510.24367" TargetMode="External" /><Relationship Type="http://schemas.openxmlformats.org/officeDocument/2006/relationships/hyperlink" Id="rId21" Target="https://ccy05327.github.io/SDD/08-PDF/Easy%20Approach%20to%20Requirements%20Syntax%20(EARS).pdf" TargetMode="External" /><Relationship Type="http://schemas.openxmlformats.org/officeDocument/2006/relationships/hyperlink" Id="rId24" Target="https://cucumber.io/docs/bdd/" TargetMode="External" /><Relationship Type="http://schemas.openxmlformats.org/officeDocument/2006/relationships/hyperlink" Id="rId16" Target="https://cucumber.io/docs/gherkin/reference/" TargetMode="External" /><Relationship Type="http://schemas.openxmlformats.org/officeDocument/2006/relationships/hyperlink" Id="rId27" Target="https://cucumber.io/docs/installation/" TargetMode="External" /><Relationship Type="http://schemas.openxmlformats.org/officeDocument/2006/relationships/hyperlink" Id="rId57" Target="https://developer.microsoft.com/blog/spec-driven-development-spec-kit" TargetMode="External" /><Relationship Type="http://schemas.openxmlformats.org/officeDocument/2006/relationships/hyperlink" Id="rId58" Target="https://docs.aws.amazon.com/prescriptive-guidance/latest/strategy-product-development/start-with-why.html" TargetMode="External" /><Relationship Type="http://schemas.openxmlformats.org/officeDocument/2006/relationships/hyperlink" Id="rId61" Target="https://docs.claude.com/en/docs/claude-code/memory" TargetMode="External" /><Relationship Type="http://schemas.openxmlformats.org/officeDocument/2006/relationships/hyperlink" Id="rId52" Target="https://en.wikipedia.org/wiki/INVEST_(mnemonic)" TargetMode="External" /><Relationship Type="http://schemas.openxmlformats.org/officeDocument/2006/relationships/hyperlink" Id="rId53" Target="https://en.wikipedia.org/wiki/MoSCoW_method" TargetMode="External" /><Relationship Type="http://schemas.openxmlformats.org/officeDocument/2006/relationships/hyperlink" Id="rId56" Target="https://github.blog/ai-and-ml/generative-ai/spec-driven-development-with-ai-get-started-with-a-new-open-source-toolkit/" TargetMode="External" /><Relationship Type="http://schemas.openxmlformats.org/officeDocument/2006/relationships/hyperlink" Id="rId19" Target="https://github.com/github/spec-kit" TargetMode="External" /><Relationship Type="http://schemas.openxmlformats.org/officeDocument/2006/relationships/hyperlink" Id="rId55" Target="https://github.github.com/spec-kit/" TargetMode="External" /><Relationship Type="http://schemas.openxmlformats.org/officeDocument/2006/relationships/hyperlink" Id="rId59" Target="https://google.github.io/eng-practices/" TargetMode="External" /><Relationship Type="http://schemas.openxmlformats.org/officeDocument/2006/relationships/hyperlink" Id="rId18" Target="https://kiro.dev/blog/introducing-kiro/" TargetMode="External" /><Relationship Type="http://schemas.openxmlformats.org/officeDocument/2006/relationships/hyperlink" Id="rId15" Target="https://kiro.dev/docs/specs/feature-specs/" TargetMode="External" /><Relationship Type="http://schemas.openxmlformats.org/officeDocument/2006/relationships/hyperlink" Id="rId28" Target="https://playwright.dev/" TargetMode="External" /><Relationship Type="http://schemas.openxmlformats.org/officeDocument/2006/relationships/hyperlink" Id="rId17" Target="https://standards.ieee.org/standard/29148-2018.html" TargetMode="External" /><Relationship Type="http://schemas.openxmlformats.org/officeDocument/2006/relationships/hyperlink" Id="rId12" Target="https://workingbackwards.com/resources/working-backwards-pr-faq/" TargetMode="External" /><Relationship Type="http://schemas.openxmlformats.org/officeDocument/2006/relationships/hyperlink" Id="rId13" Target="https://www.industrialempathy.com/posts/design-docs-at-google/" TargetMode="External" /><Relationship Type="http://schemas.openxmlformats.org/officeDocument/2006/relationships/hyperlink" Id="rId31" Target="https://www.scitepress.org/Papers/2025/136836/136836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acceptance_criteria_tetris.md" TargetMode="External" /><Relationship Type="http://schemas.openxmlformats.org/officeDocument/2006/relationships/hyperlink" Id="rId34" Target="./compliance.md" TargetMode="External" /><Relationship Type="http://schemas.openxmlformats.org/officeDocument/2006/relationships/hyperlink" Id="rId35" Target="./g_eval_metric.md" TargetMode="External" /><Relationship Type="http://schemas.openxmlformats.org/officeDocument/2006/relationships/hyperlink" Id="rId47" Target="./papers_list.md" TargetMode="External" /><Relationship Type="http://schemas.openxmlformats.org/officeDocument/2006/relationships/hyperlink" Id="rId22" Target="./requirements_doc/requirements.md" TargetMode="External" /><Relationship Type="http://schemas.openxmlformats.org/officeDocument/2006/relationships/hyperlink" Id="rId33" Target="./requirements_doc/traceability.md" TargetMode="External" /><Relationship Type="http://schemas.openxmlformats.org/officeDocument/2006/relationships/hyperlink" Id="rId11" Target="./requirements_doc_standard.md" TargetMode="External" /><Relationship Type="http://schemas.openxmlformats.org/officeDocument/2006/relationships/hyperlink" Id="rId60" Target="https://abseil.io/resources/swe-book/html/ch10.html" TargetMode="External" /><Relationship Type="http://schemas.openxmlformats.org/officeDocument/2006/relationships/hyperlink" Id="rId14" Target="https://alistairmavin.com/ears/" TargetMode="External" /><Relationship Type="http://schemas.openxmlformats.org/officeDocument/2006/relationships/hyperlink" Id="rId40" Target="https://arxiv.org/abs/2408.00994" TargetMode="External" /><Relationship Type="http://schemas.openxmlformats.org/officeDocument/2006/relationships/hyperlink" Id="rId42" Target="https://arxiv.org/abs/2502.19166" TargetMode="External" /><Relationship Type="http://schemas.openxmlformats.org/officeDocument/2006/relationships/hyperlink" Id="rId29" Target="https://arxiv.org/abs/2503.05142" TargetMode="External" /><Relationship Type="http://schemas.openxmlformats.org/officeDocument/2006/relationships/hyperlink" Id="rId30" Target="https://arxiv.org/abs/2503.23989" TargetMode="External" /><Relationship Type="http://schemas.openxmlformats.org/officeDocument/2006/relationships/hyperlink" Id="rId44" Target="https://arxiv.org/abs/2504.07244" TargetMode="External" /><Relationship Type="http://schemas.openxmlformats.org/officeDocument/2006/relationships/hyperlink" Id="rId26" Target="https://arxiv.org/abs/2508.12358" TargetMode="External" /><Relationship Type="http://schemas.openxmlformats.org/officeDocument/2006/relationships/hyperlink" Id="rId25" Target="https://arxiv.org/abs/2508.20744" TargetMode="External" /><Relationship Type="http://schemas.openxmlformats.org/officeDocument/2006/relationships/hyperlink" Id="rId41" Target="https://arxiv.org/abs/2509.01313" TargetMode="External" /><Relationship Type="http://schemas.openxmlformats.org/officeDocument/2006/relationships/hyperlink" Id="rId43" Target="https://arxiv.org/abs/2509.18808" TargetMode="External" /><Relationship Type="http://schemas.openxmlformats.org/officeDocument/2006/relationships/hyperlink" Id="rId63" Target="https://arxiv.org/abs/2509.20149" TargetMode="External" /><Relationship Type="http://schemas.openxmlformats.org/officeDocument/2006/relationships/hyperlink" Id="rId46" Target="https://arxiv.org/abs/2510.03641" TargetMode="External" /><Relationship Type="http://schemas.openxmlformats.org/officeDocument/2006/relationships/hyperlink" Id="rId64" Target="https://arxiv.org/html/2509.11446v1" TargetMode="External" /><Relationship Type="http://schemas.openxmlformats.org/officeDocument/2006/relationships/hyperlink" Id="rId45" Target="https://arxiv.org/html/2510.18861v1" TargetMode="External" /><Relationship Type="http://schemas.openxmlformats.org/officeDocument/2006/relationships/hyperlink" Id="rId37" Target="https://arxiv.org/pdf/2412.08593" TargetMode="External" /><Relationship Type="http://schemas.openxmlformats.org/officeDocument/2006/relationships/hyperlink" Id="rId38" Target="https://arxiv.org/pdf/2510.24367" TargetMode="External" /><Relationship Type="http://schemas.openxmlformats.org/officeDocument/2006/relationships/hyperlink" Id="rId21" Target="https://ccy05327.github.io/SDD/08-PDF/Easy%20Approach%20to%20Requirements%20Syntax%20(EARS).pdf" TargetMode="External" /><Relationship Type="http://schemas.openxmlformats.org/officeDocument/2006/relationships/hyperlink" Id="rId24" Target="https://cucumber.io/docs/bdd/" TargetMode="External" /><Relationship Type="http://schemas.openxmlformats.org/officeDocument/2006/relationships/hyperlink" Id="rId16" Target="https://cucumber.io/docs/gherkin/reference/" TargetMode="External" /><Relationship Type="http://schemas.openxmlformats.org/officeDocument/2006/relationships/hyperlink" Id="rId27" Target="https://cucumber.io/docs/installation/" TargetMode="External" /><Relationship Type="http://schemas.openxmlformats.org/officeDocument/2006/relationships/hyperlink" Id="rId57" Target="https://developer.microsoft.com/blog/spec-driven-development-spec-kit" TargetMode="External" /><Relationship Type="http://schemas.openxmlformats.org/officeDocument/2006/relationships/hyperlink" Id="rId58" Target="https://docs.aws.amazon.com/prescriptive-guidance/latest/strategy-product-development/start-with-why.html" TargetMode="External" /><Relationship Type="http://schemas.openxmlformats.org/officeDocument/2006/relationships/hyperlink" Id="rId61" Target="https://docs.claude.com/en/docs/claude-code/memory" TargetMode="External" /><Relationship Type="http://schemas.openxmlformats.org/officeDocument/2006/relationships/hyperlink" Id="rId52" Target="https://en.wikipedia.org/wiki/INVEST_(mnemonic)" TargetMode="External" /><Relationship Type="http://schemas.openxmlformats.org/officeDocument/2006/relationships/hyperlink" Id="rId53" Target="https://en.wikipedia.org/wiki/MoSCoW_method" TargetMode="External" /><Relationship Type="http://schemas.openxmlformats.org/officeDocument/2006/relationships/hyperlink" Id="rId56" Target="https://github.blog/ai-and-ml/generative-ai/spec-driven-development-with-ai-get-started-with-a-new-open-source-toolkit/" TargetMode="External" /><Relationship Type="http://schemas.openxmlformats.org/officeDocument/2006/relationships/hyperlink" Id="rId19" Target="https://github.com/github/spec-kit" TargetMode="External" /><Relationship Type="http://schemas.openxmlformats.org/officeDocument/2006/relationships/hyperlink" Id="rId55" Target="https://github.github.com/spec-kit/" TargetMode="External" /><Relationship Type="http://schemas.openxmlformats.org/officeDocument/2006/relationships/hyperlink" Id="rId59" Target="https://google.github.io/eng-practices/" TargetMode="External" /><Relationship Type="http://schemas.openxmlformats.org/officeDocument/2006/relationships/hyperlink" Id="rId18" Target="https://kiro.dev/blog/introducing-kiro/" TargetMode="External" /><Relationship Type="http://schemas.openxmlformats.org/officeDocument/2006/relationships/hyperlink" Id="rId15" Target="https://kiro.dev/docs/specs/feature-specs/" TargetMode="External" /><Relationship Type="http://schemas.openxmlformats.org/officeDocument/2006/relationships/hyperlink" Id="rId28" Target="https://playwright.dev/" TargetMode="External" /><Relationship Type="http://schemas.openxmlformats.org/officeDocument/2006/relationships/hyperlink" Id="rId17" Target="https://standards.ieee.org/standard/29148-2018.html" TargetMode="External" /><Relationship Type="http://schemas.openxmlformats.org/officeDocument/2006/relationships/hyperlink" Id="rId12" Target="https://workingbackwards.com/resources/working-backwards-pr-faq/" TargetMode="External" /><Relationship Type="http://schemas.openxmlformats.org/officeDocument/2006/relationships/hyperlink" Id="rId13" Target="https://www.industrialempathy.com/posts/design-docs-at-google/" TargetMode="External" /><Relationship Type="http://schemas.openxmlformats.org/officeDocument/2006/relationships/hyperlink" Id="rId31" Target="https://www.scitepress.org/Papers/2025/136836/136836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2026-07-27T08:02:47Z</dcterms:created>
  <dcterms:modified xsi:type="dcterms:W3CDTF">2026-07-27T08:02:47Z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