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Amplitude A/B Test Plan — Paywall Social Proof</w:t>
      </w:r>
    </w:p>
    <w:p>
      <w:r>
        <w:rPr>
          <w:sz w:val="20"/>
        </w:rPr>
        <w:t>Date: 2025-10-13  |  Owner: Product Analytics  |  App: Mobile</w:t>
      </w:r>
    </w:p>
    <w:p>
      <w:pPr>
        <w:pStyle w:val="Heading1"/>
      </w:pPr>
      <w:r>
        <w:t>1. Experiment Name</w:t>
      </w:r>
    </w:p>
    <w:p>
      <w:r>
        <w:t>Paywall Social Proof (Rating &amp; Usage Count) vs Control</w:t>
      </w:r>
    </w:p>
    <w:p>
      <w:pPr>
        <w:pStyle w:val="Heading1"/>
      </w:pPr>
      <w:r>
        <w:t>2. Background / Context</w:t>
      </w:r>
    </w:p>
    <w:p>
      <w:r>
        <w:t>After onboarding, users see a paywall offering a weekly subscription for $4.99. Currently, 17% of users who view the paywall make a purchase. We hypothesize that adding social proof elements — such as a user rating (★4.8) or a message like '1,234 users upgraded to Premium this month' — can increase perceived trust and value, driving higher conversion.</w:t>
      </w:r>
    </w:p>
    <w:p>
      <w:pPr>
        <w:pStyle w:val="Heading1"/>
      </w:pPr>
      <w:r>
        <w:t>3. Hypothesis (H1) &amp; Null (H0)</w:t>
      </w:r>
    </w:p>
    <w:p>
      <w:r>
        <w:t>H1: Adding social proof to the paywall increases the view→purchase conversion rate compared to the control.</w:t>
      </w:r>
    </w:p>
    <w:p>
      <w:r>
        <w:t>H0: There is no difference in the view→purchase conversion rate between the variant and the control.</w:t>
      </w:r>
    </w:p>
    <w:p>
      <w:pPr>
        <w:pStyle w:val="Heading1"/>
      </w:pPr>
      <w:r>
        <w:t>4. Variants</w:t>
      </w:r>
    </w:p>
    <w:p>
      <w:r>
        <w:t>• **Control:** Current paywall, no social proof elements.</w:t>
        <w:br/>
        <w:t>• **Variant (Social Proof):** Adds one or both verified elements:</w:t>
        <w:br/>
        <w:t xml:space="preserve">   – Rating: “★4.8 (based on 2,145 reviews)”</w:t>
        <w:br/>
        <w:t xml:space="preserve">   – Usage count: “1,234 users upgraded to Premium in the last 30 days”</w:t>
        <w:br/>
        <w:t>Placement: under the header/value bullet points and above the primary CTA, visible without scroll.</w:t>
      </w:r>
    </w:p>
    <w:p>
      <w:pPr>
        <w:pStyle w:val="Heading1"/>
      </w:pPr>
      <w:r>
        <w:t>5. Target Population &amp; Randomization Unit</w:t>
      </w:r>
    </w:p>
    <w:p>
      <w:r>
        <w:t>Unit of randomization: user (installer ID). Split 50/50 at first paywall exposure.</w:t>
        <w:br/>
        <w:t>Inclusion: new installs that reach the paywall (first exposure only).</w:t>
        <w:br/>
        <w:t>Exclusion: users with prior purchases or Premium status; repeated paywall exposures; anomalous or fraudulent traffic.</w:t>
      </w:r>
    </w:p>
    <w:p>
      <w:pPr>
        <w:pStyle w:val="Heading1"/>
      </w:pPr>
      <w:r>
        <w:t>6. Primary, Secondary, and Guardrail Metrics</w:t>
      </w:r>
    </w:p>
    <w:p>
      <w:r>
        <w:t>**Primary Metric:** Paywall Conversion Rate (view→purchase within session or 24h window).</w:t>
        <w:br/>
        <w:t>**Secondary Metrics:** CTR on primary buy CTA, time-to-purchase.</w:t>
        <w:br/>
        <w:t>**Guardrail Metrics:** Refund/chargeback rate (first week), Install→purchase conversion, SRM (Sample Ratio Mismatch).</w:t>
      </w:r>
    </w:p>
    <w:p>
      <w:pPr>
        <w:pStyle w:val="Heading1"/>
      </w:pPr>
      <w:r>
        <w:t>7. Traffic Assumptions</w:t>
      </w:r>
    </w:p>
    <w:p>
      <w:r>
        <w:t>• Daily installs ≈ 2,000.</w:t>
        <w:br/>
        <w:t>• 34% reach the paywall → ~680 paywall views/day.</w:t>
        <w:br/>
        <w:t>• With a 50/50 split → ~340 users per group/day.</w:t>
        <w:br/>
        <w:t>• Baseline paywall conversion: 17%.</w:t>
      </w:r>
    </w:p>
    <w:p>
      <w:pPr>
        <w:pStyle w:val="Heading1"/>
      </w:pPr>
      <w:r>
        <w:t>8. Sample Size &amp; Duration (α=0.05, power=0.8)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Expected Lift</w:t>
            </w:r>
          </w:p>
        </w:tc>
        <w:tc>
          <w:tcPr>
            <w:tcW w:type="dxa" w:w="2160"/>
          </w:tcPr>
          <w:p>
            <w:r>
              <w:t>Variant p2</w:t>
            </w:r>
          </w:p>
        </w:tc>
        <w:tc>
          <w:tcPr>
            <w:tcW w:type="dxa" w:w="2160"/>
          </w:tcPr>
          <w:p>
            <w:r>
              <w:t>n per group</w:t>
            </w:r>
          </w:p>
        </w:tc>
        <w:tc>
          <w:tcPr>
            <w:tcW w:type="dxa" w:w="2160"/>
          </w:tcPr>
          <w:p>
            <w:r>
              <w:t>Estimated days</w:t>
            </w:r>
          </w:p>
        </w:tc>
      </w:tr>
      <w:tr>
        <w:tc>
          <w:tcPr>
            <w:tcW w:type="dxa" w:w="2160"/>
          </w:tcPr>
          <w:p>
            <w:r>
              <w:t>+1.5 pp (17%→18.5%)</w:t>
            </w:r>
          </w:p>
        </w:tc>
        <w:tc>
          <w:tcPr>
            <w:tcW w:type="dxa" w:w="2160"/>
          </w:tcPr>
          <w:p>
            <w:r>
              <w:t>0.185</w:t>
            </w:r>
          </w:p>
        </w:tc>
        <w:tc>
          <w:tcPr>
            <w:tcW w:type="dxa" w:w="2160"/>
          </w:tcPr>
          <w:p>
            <w:r>
              <w:t>10185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+2.0 pp (17%→19%)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  <w:tc>
          <w:tcPr>
            <w:tcW w:type="dxa" w:w="2160"/>
          </w:tcPr>
          <w:p>
            <w:r>
              <w:t>5792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+2.5 pp (17%→19.5%)</w:t>
            </w:r>
          </w:p>
        </w:tc>
        <w:tc>
          <w:tcPr>
            <w:tcW w:type="dxa" w:w="2160"/>
          </w:tcPr>
          <w:p>
            <w:r>
              <w:t>0.195</w:t>
            </w:r>
          </w:p>
        </w:tc>
        <w:tc>
          <w:tcPr>
            <w:tcW w:type="dxa" w:w="2160"/>
          </w:tcPr>
          <w:p>
            <w:r>
              <w:t>3747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+3.0 pp (17%→20%)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2629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>
      <w:r>
        <w:t>For an expected +3.0 pp lift (from 17%→20%), we need ~2,629 users per group, which corresponds to approximately 8 days of test duration. For smaller lifts, the duration increases accordingly (see table above).</w:t>
      </w:r>
    </w:p>
    <w:p>
      <w:pPr>
        <w:pStyle w:val="Heading1"/>
      </w:pPr>
      <w:r>
        <w:t>9. Experiment Procedure</w:t>
      </w:r>
    </w:p>
    <w:p>
      <w:r>
        <w:t>• Deploy both variants behind a feature flag; freeze designs during the test.</w:t>
        <w:br/>
        <w:t>• Validate event tracking: view_paywall, paywall_social_proof_shown (type=rating/count), click_buy, purchase_succeeded, refund.</w:t>
        <w:br/>
        <w:t>• Run for a fixed duration to reach the required sample size (avoid peeking).</w:t>
        <w:br/>
        <w:t>• Monitor SRM and guardrails mid-test and at completion.</w:t>
      </w:r>
    </w:p>
    <w:p>
      <w:pPr>
        <w:pStyle w:val="Heading1"/>
      </w:pPr>
      <w:r>
        <w:t>10. Analysis Plan</w:t>
      </w:r>
    </w:p>
    <w:p>
      <w:r>
        <w:t>Two-sample z-test for proportions (two-sided) with α=0.05, power=0.8. Report p-values, absolute and relative lifts, and 95% confidence intervals.</w:t>
      </w:r>
    </w:p>
    <w:p>
      <w:pPr>
        <w:pStyle w:val="Heading1"/>
      </w:pPr>
      <w:r>
        <w:t>11. Success Criteria &amp; Decision Framework</w:t>
      </w:r>
    </w:p>
    <w:p>
      <w:r>
        <w:t>**Success:** Variant’s primary metric is significantly higher (p&lt;0.05) with no degradation in guardrail metrics.</w:t>
        <w:br/>
        <w:t>**If successful:** Roll out variant to 100% of users and monitor for 1–2 weeks post-launch.</w:t>
        <w:br/>
        <w:t>**If neutral:** Stop or extend to detect smaller effects depending on business priority.</w:t>
        <w:br/>
        <w:t>**If worse:** Revert to control and reassess copy or placement.</w:t>
      </w:r>
    </w:p>
    <w:p>
      <w:pPr>
        <w:pStyle w:val="Heading1"/>
      </w:pPr>
      <w:r>
        <w:t>12. Risks &amp; Assumptions</w:t>
      </w:r>
    </w:p>
    <w:p>
      <w:r>
        <w:t>• Social proof data must be accurate and updated regularly to maintain trust.</w:t>
        <w:br/>
        <w:t>• Traffic sources and localization distributions remain balanced between arms.</w:t>
        <w:br/>
        <w:t>• No concurrent changes to onboarding or pricing that could confound results.</w:t>
      </w:r>
    </w:p>
    <w:p>
      <w:pPr>
        <w:pStyle w:val="Heading1"/>
      </w:pPr>
      <w:r>
        <w:t>13. Alternative Follow-up Hypotheses</w:t>
      </w:r>
    </w:p>
    <w:p>
      <w:r>
        <w:t>If social proof does not produce a significant uplift, consider testing:</w:t>
        <w:br/>
        <w:t>• Value-focused messaging ('Get access to advanced features that help you save time').</w:t>
        <w:br/>
        <w:t>• Social credibility badges (e.g., 'Editors’ Choice', 'Top-rated').</w:t>
        <w:br/>
        <w:t>• Soft urgency cues (without dark patterns).</w:t>
        <w:br/>
        <w:t>• Pricing or plan structure (e.g., trial period → $4.99/week).</w:t>
      </w:r>
    </w:p>
    <w:p>
      <w:pPr>
        <w:pStyle w:val="Heading1"/>
      </w:pPr>
      <w:r>
        <w:t>Appendix: Calculation Notes</w:t>
      </w:r>
    </w:p>
    <w:p>
      <w:r>
        <w:t>Two-sample z-test for proportions.</w:t>
        <w:br/>
        <w:t>For α-term: pooled variance at p̄=(p1+p2)/2.</w:t>
        <w:br/>
        <w:t>For power-term: unpooled variance.</w:t>
        <w:br/>
        <w:t>z_{1−α/2}=1.96, z_power=0.842, baseline p1=0.17.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