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60"/>
        <w:ind w:hanging="0"/>
        <w:jc w:val="center"/>
        <w:rPr/>
      </w:pPr>
      <w:r>
        <w:rPr>
          <w:rFonts w:cs="Times New Roman"/>
          <w:b/>
          <w:i w:val="false"/>
          <w:sz w:val="36"/>
        </w:rPr>
        <w:t xml:space="preserve">AN EXAMPLE </w:t>
      </w:r>
      <w:r>
        <w:rPr>
          <w:rFonts w:cs="Times New Roman"/>
          <w:b/>
          <w:i w:val="false"/>
          <w:sz w:val="36"/>
        </w:rPr>
        <w:t>OF A TOOL</w:t>
      </w:r>
      <w:r>
        <w:rPr>
          <w:rFonts w:cs="Times New Roman"/>
          <w:b/>
          <w:i w:val="false"/>
          <w:sz w:val="36"/>
        </w:rPr>
        <w:t xml:space="preserve"> </w:t>
      </w:r>
      <w:r>
        <w:rPr>
          <w:rFonts w:cs="Times New Roman"/>
          <w:b/>
          <w:i w:val="false"/>
          <w:sz w:val="36"/>
        </w:rPr>
        <w:t>FOR</w:t>
      </w:r>
      <w:r>
        <w:rPr>
          <w:rFonts w:cs="Times New Roman"/>
          <w:b/>
          <w:i w:val="false"/>
          <w:sz w:val="36"/>
        </w:rPr>
        <w:t xml:space="preserve"> A NETWORK GOVERNANCE MODEL IN SPATIAL DEVELOPMENT</w:t>
      </w:r>
    </w:p>
    <w:p>
      <w:pPr>
        <w:pStyle w:val="Normal"/>
        <w:spacing w:lineRule="auto" w:line="240"/>
        <w:ind w:hanging="0"/>
        <w:jc w:val="right"/>
        <w:rPr/>
      </w:pPr>
      <w:r>
        <w:rPr>
          <w:rFonts w:cs="Times New Roman"/>
          <w:b/>
          <w:i w:val="false"/>
          <w:sz w:val="28"/>
        </w:rPr>
        <w:t>Oleksii BOIKO</w:t>
      </w:r>
    </w:p>
    <w:p>
      <w:pPr>
        <w:pStyle w:val="Normal"/>
        <w:spacing w:lineRule="auto" w:line="240"/>
        <w:ind w:hanging="0"/>
        <w:jc w:val="right"/>
        <w:rPr/>
      </w:pPr>
      <w:r>
        <w:rPr>
          <w:rFonts w:cs="Times New Roman"/>
          <w:b w:val="false"/>
          <w:i w:val="false"/>
          <w:sz w:val="28"/>
        </w:rPr>
        <w:t>Postgraduate student, Department of Regional Studies and Tourism</w:t>
      </w:r>
    </w:p>
    <w:p>
      <w:pPr>
        <w:pStyle w:val="Normal"/>
        <w:spacing w:lineRule="auto" w:line="240"/>
        <w:ind w:hanging="0"/>
        <w:jc w:val="right"/>
        <w:rPr/>
      </w:pPr>
      <w:r>
        <w:rPr>
          <w:rFonts w:cs="Times New Roman"/>
          <w:b w:val="false"/>
          <w:i w:val="false"/>
          <w:sz w:val="28"/>
        </w:rPr>
        <w:t>Kyiv National Economic University named after Vadym Hetman, Ukraine</w:t>
      </w:r>
    </w:p>
    <w:p>
      <w:pPr>
        <w:pStyle w:val="Normal"/>
        <w:spacing w:lineRule="auto" w:line="240"/>
        <w:ind w:hanging="0"/>
        <w:jc w:val="right"/>
        <w:rPr/>
      </w:pPr>
      <w:r>
        <w:rPr>
          <w:rFonts w:cs="Times New Roman"/>
          <w:b w:val="false"/>
          <w:i w:val="false"/>
          <w:sz w:val="28"/>
        </w:rPr>
        <w:t xml:space="preserve">ORCID: </w:t>
      </w:r>
      <w:hyperlink r:id="rId2">
        <w:r>
          <w:rPr>
            <w:rStyle w:val="ListLabel73"/>
            <w:rFonts w:cs="Times New Roman"/>
            <w:b w:val="false"/>
            <w:i w:val="false"/>
            <w:color w:val="0563C1"/>
            <w:sz w:val="28"/>
            <w:u w:val="single"/>
          </w:rPr>
          <w:t>https://orcid.org/0000-0003-3676-6043</w:t>
        </w:r>
      </w:hyperlink>
      <w:r>
        <w:rPr>
          <w:rFonts w:cs="Times New Roman"/>
          <w:b w:val="false"/>
          <w:i w:val="false"/>
          <w:sz w:val="28"/>
        </w:rPr>
        <w:t xml:space="preserve"> </w:t>
      </w:r>
    </w:p>
    <w:p>
      <w:pPr>
        <w:pStyle w:val="Normal"/>
        <w:spacing w:lineRule="auto" w:line="240"/>
        <w:ind w:hanging="0"/>
        <w:jc w:val="right"/>
        <w:rPr/>
      </w:pPr>
      <w:r>
        <w:rPr>
          <w:rFonts w:cs="Times New Roman"/>
          <w:b w:val="false"/>
          <w:i w:val="false"/>
          <w:sz w:val="28"/>
        </w:rPr>
        <w:t>e-mail: contact@juliesdata.com</w:t>
      </w:r>
    </w:p>
    <w:p>
      <w:pPr>
        <w:pStyle w:val="Normal"/>
        <w:spacing w:lineRule="auto" w:line="240" w:before="160" w:after="80"/>
        <w:ind w:hanging="0"/>
        <w:rPr/>
      </w:pPr>
      <w:r>
        <w:rPr>
          <w:rFonts w:cs="Times New Roman"/>
          <w:b/>
          <w:i w:val="false"/>
          <w:sz w:val="28"/>
        </w:rPr>
        <w:t>Abstract</w:t>
      </w:r>
    </w:p>
    <w:p>
      <w:pPr>
        <w:pStyle w:val="Normal"/>
        <w:spacing w:lineRule="auto" w:line="240" w:before="0" w:after="0"/>
        <w:ind w:firstLine="567"/>
        <w:jc w:val="both"/>
        <w:rPr/>
      </w:pPr>
      <w:r>
        <w:rPr>
          <w:rFonts w:cs="Times New Roman"/>
          <w:b w:val="false"/>
          <w:i w:val="false"/>
          <w:sz w:val="28"/>
        </w:rPr>
        <w:t>Th</w:t>
      </w:r>
      <w:r>
        <w:rPr>
          <w:rFonts w:cs="Times New Roman"/>
          <w:b w:val="false"/>
          <w:i w:val="false"/>
          <w:sz w:val="28"/>
        </w:rPr>
        <w:t>e</w:t>
      </w:r>
      <w:r>
        <w:rPr>
          <w:rFonts w:cs="Times New Roman"/>
          <w:b w:val="false"/>
          <w:i w:val="false"/>
          <w:sz w:val="28"/>
        </w:rPr>
        <w:t xml:space="preserve"> article examines the problem of operationalizing substantive legal provisions of public legislation that establish measurable restrictions or governance parameters but do not contain a complete executive procedure for their application. The article proposes an approach to building an open infrastructure of instruction-based governance within a network governance model, </w:t>
      </w:r>
      <w:r>
        <w:rPr>
          <w:rFonts w:cs="Times New Roman"/>
          <w:b w:val="false"/>
          <w:i w:val="false"/>
          <w:sz w:val="28"/>
        </w:rPr>
        <w:t>where</w:t>
      </w:r>
      <w:r>
        <w:rPr>
          <w:rFonts w:cs="Times New Roman"/>
          <w:b w:val="false"/>
          <w:i w:val="false"/>
          <w:sz w:val="28"/>
        </w:rPr>
        <w:t xml:space="preserve"> a legal norm is operationalized through the use of digital technologies, open data, information-exchange protocols, and public communication among governance actors. The requirements of Ukrainian legislation concerning the parameters of water-protection restrictions are used as an example, and a method for determining such restrictions by means of raster algebra and open geoinformation tools is developed and published in a GitHub repository for verification, discussion, and further improvement.</w:t>
      </w:r>
    </w:p>
    <w:p>
      <w:pPr>
        <w:pStyle w:val="Normal"/>
        <w:spacing w:lineRule="auto" w:line="240" w:before="0" w:after="0"/>
        <w:ind w:hanging="0"/>
        <w:rPr>
          <w:rFonts w:ascii="Times New Roman" w:hAnsi="Times New Roman" w:cs="Times New Roman"/>
          <w:b/>
          <w:i w:val="false"/>
          <w:i w:val="false"/>
          <w:sz w:val="28"/>
        </w:rPr>
      </w:pPr>
      <w:r>
        <w:rPr>
          <w:rFonts w:cs="Times New Roman"/>
          <w:b/>
          <w:i w:val="false"/>
          <w:sz w:val="28"/>
        </w:rPr>
      </w:r>
    </w:p>
    <w:p>
      <w:pPr>
        <w:pStyle w:val="Normal"/>
        <w:spacing w:lineRule="auto" w:line="240" w:before="0" w:after="0"/>
        <w:ind w:hanging="0"/>
        <w:rPr>
          <w:i/>
          <w:i/>
          <w:iCs/>
        </w:rPr>
      </w:pPr>
      <w:r>
        <w:rPr>
          <w:rFonts w:cs="Times New Roman"/>
          <w:b/>
          <w:i/>
          <w:iCs/>
          <w:sz w:val="28"/>
        </w:rPr>
        <w:t>Keywords:</w:t>
      </w:r>
      <w:r>
        <w:rPr>
          <w:rFonts w:cs="Times New Roman"/>
          <w:b w:val="false"/>
          <w:i/>
          <w:iCs/>
          <w:sz w:val="28"/>
        </w:rPr>
        <w:t xml:space="preserve"> public governance, network governance, raster algebra, GIS, morphological analysis.</w:t>
      </w:r>
    </w:p>
    <w:p>
      <w:pPr>
        <w:pStyle w:val="Normal"/>
        <w:spacing w:lineRule="auto" w:line="240" w:before="160" w:after="80"/>
        <w:ind w:hanging="0"/>
        <w:rPr/>
      </w:pPr>
      <w:r>
        <w:rPr>
          <w:rFonts w:cs="Times New Roman"/>
          <w:b/>
          <w:i w:val="false"/>
          <w:sz w:val="28"/>
        </w:rPr>
        <w:t>Introduction</w:t>
      </w:r>
    </w:p>
    <w:p>
      <w:pPr>
        <w:pStyle w:val="Normal"/>
        <w:spacing w:lineRule="auto" w:line="240" w:before="0" w:after="0"/>
        <w:ind w:firstLine="567"/>
        <w:jc w:val="both"/>
        <w:rPr/>
      </w:pPr>
      <w:r>
        <w:rPr>
          <w:rFonts w:cs="Times New Roman"/>
          <w:b w:val="false"/>
          <w:i w:val="false"/>
          <w:sz w:val="28"/>
        </w:rPr>
        <w:t>Substantive legal provisions of public legislation that establish mandatory restrictions, parameters, or governance outcomes require additional operationalization at the level of executive procedures. Such operationalization should be carried out through transparent, clear, reproducible, and traceable rules, instructions, and protocols of interaction among public governance actors and other interested participants affected by the relevant norm. In terms of morphological analysis, this corresponds to the level of instruction-based governance, where the general value and goal framework must be translated into standards of action, algorithms, working procedures, and process control maps [1].</w:t>
      </w:r>
    </w:p>
    <w:p>
      <w:pPr>
        <w:pStyle w:val="Normal"/>
        <w:spacing w:lineRule="auto" w:line="240" w:before="0" w:after="0"/>
        <w:ind w:firstLine="567"/>
        <w:jc w:val="both"/>
        <w:rPr/>
      </w:pPr>
      <w:r>
        <w:rPr>
          <w:rFonts w:cs="Times New Roman"/>
          <w:b w:val="false"/>
          <w:i w:val="false"/>
          <w:sz w:val="28"/>
        </w:rPr>
        <w:t>Institutional design and the updating of governance procedures require time, organizational effort, and resources. In public governance research, several ways of institutionalizing legislative requirements can be identified: the creation or restructuring of specialized bodies and agencies; changes within existing institutions through new rules, procedures, and the layering of norms; and the delegation of individual functions of the governance cycle to networks, partners, or other non-state actors within collaborative and network governance.</w:t>
      </w:r>
    </w:p>
    <w:p>
      <w:pPr>
        <w:pStyle w:val="Normal"/>
        <w:spacing w:lineRule="auto" w:line="240" w:before="0" w:after="0"/>
        <w:ind w:firstLine="567"/>
        <w:jc w:val="both"/>
        <w:rPr/>
      </w:pPr>
      <w:r>
        <w:rPr>
          <w:rFonts w:cs="Times New Roman"/>
          <w:b w:val="false"/>
          <w:i w:val="false"/>
          <w:sz w:val="28"/>
        </w:rPr>
        <w:t>The first approach is associated with agencification, that is, a transition from an integrated administrative hierarchy to more specialized autonomous or semi-autonomous organizations to which certain functions of policy implementation, regulation, or service delivery are transferred. Such a model can strengthen state capacity in complex technical areas; however, it also creates additional requirements for accountability, coordination, and control and, under weak institutional design, can lead to duplication of functions or a vacuum of responsibility [2].</w:t>
      </w:r>
    </w:p>
    <w:p>
      <w:pPr>
        <w:pStyle w:val="Normal"/>
        <w:spacing w:lineRule="auto" w:line="240" w:before="0" w:after="0"/>
        <w:ind w:firstLine="567"/>
        <w:jc w:val="both"/>
        <w:rPr/>
      </w:pPr>
      <w:r>
        <w:rPr>
          <w:rFonts w:cs="Times New Roman"/>
          <w:b w:val="false"/>
          <w:i w:val="false"/>
          <w:sz w:val="28"/>
        </w:rPr>
        <w:t>The second approach consists of gradual institutional changes within existing organizations. In this case, a legislative requirement is formalized through administrative regulations, standards of action, digital working procedures, requirements for interagency data exchange, and other instruments embedded in the activities of existing institutions. This approach reduces the need for new organizational units, but it does not eliminate the risks of institutional inertia, resistance to change, and the reproduction of outdated coordination mechanisms [3], [4].</w:t>
      </w:r>
    </w:p>
    <w:p>
      <w:pPr>
        <w:pStyle w:val="Normal"/>
        <w:spacing w:lineRule="auto" w:line="240" w:before="0" w:after="0"/>
        <w:ind w:firstLine="567"/>
        <w:jc w:val="both"/>
        <w:rPr/>
      </w:pPr>
      <w:r>
        <w:rPr>
          <w:rFonts w:cs="Times New Roman"/>
          <w:b w:val="false"/>
          <w:i w:val="false"/>
          <w:sz w:val="28"/>
        </w:rPr>
        <w:t>The third approach relies on network and collaborative governance. In the classical definition of collaborative governance, public bodies involve non-state stakeholders in the development or implementation of consensus-based policy [5]. More recent studies describe the public sector as an arena for co-creation, where public authorities, citizens, civil society, and private actors jointly develop solutions to societal problems [6].</w:t>
      </w:r>
    </w:p>
    <w:p>
      <w:pPr>
        <w:pStyle w:val="Normal"/>
        <w:spacing w:lineRule="auto" w:line="240" w:before="0" w:after="0"/>
        <w:ind w:firstLine="567"/>
        <w:jc w:val="both"/>
        <w:rPr/>
      </w:pPr>
      <w:r>
        <w:rPr>
          <w:rFonts w:cs="Times New Roman"/>
          <w:b w:val="false"/>
          <w:i w:val="false"/>
          <w:sz w:val="28"/>
        </w:rPr>
        <w:t>For spatial development tasks, this framework is especially important. If the content of a norm can be operationalized through measurable parameters, open data, digital tools, and reproducible protocols, its implementation can be supported not only by a closed administrative procedure but also by instruction-based governance infrastructure. Such infrastructure does not abolish the legal role of the state, but it reduces the space for arbitrary interpretation, increases the verifiability of the result, ensures transparency of interaction, and strengthens the procedural legitimacy of governance decisions [7].</w:t>
      </w:r>
    </w:p>
    <w:p>
      <w:pPr>
        <w:pStyle w:val="Normal"/>
        <w:spacing w:lineRule="auto" w:line="240" w:before="160" w:after="80"/>
        <w:ind w:hanging="0"/>
        <w:rPr/>
      </w:pPr>
      <w:r>
        <w:rPr>
          <w:rFonts w:cs="Times New Roman"/>
          <w:b/>
          <w:i w:val="false"/>
          <w:sz w:val="28"/>
        </w:rPr>
        <w:t>Purpose and Objectives of the Study</w:t>
      </w:r>
    </w:p>
    <w:p>
      <w:pPr>
        <w:pStyle w:val="Normal"/>
        <w:spacing w:lineRule="auto" w:line="240" w:before="0" w:after="0"/>
        <w:ind w:firstLine="567"/>
        <w:jc w:val="both"/>
        <w:rPr>
          <w:color w:val="000000"/>
        </w:rPr>
      </w:pPr>
      <w:r>
        <w:rPr>
          <w:rFonts w:cs="Times New Roman"/>
          <w:b w:val="false"/>
          <w:i w:val="false"/>
          <w:color w:val="000000"/>
          <w:sz w:val="28"/>
        </w:rPr>
        <w:t>The purpose of the study is to substantiate an open, algorithmically reproducible method for determining water-protection restrictions as an element of instruction-based governance infrastructure in a network governance model.</w:t>
      </w:r>
    </w:p>
    <w:p>
      <w:pPr>
        <w:pStyle w:val="Normal"/>
        <w:spacing w:lineRule="auto" w:line="240" w:before="0" w:after="0"/>
        <w:ind w:firstLine="567"/>
        <w:jc w:val="both"/>
        <w:rPr/>
      </w:pPr>
      <w:r>
        <w:rPr>
          <w:rFonts w:cs="Times New Roman"/>
          <w:b w:val="false"/>
          <w:i w:val="false"/>
          <w:color w:val="000000"/>
          <w:sz w:val="28"/>
        </w:rPr>
        <w:t>To achieve this purpose, the following objectives were set: to define the conceptual problem of operationalizing legislative requirements that have measurable geospatial content; to show why the legal norm concerning the parameters of water-protection restrictions is a relevant example of this problem; to describe the technical core of the method for determining coastal protective strips (CPS) using raster algebra; to substantiate the role of a GitHub repository as an environment for dissemination, verification, communication, and versioning of the method; and to outline the limits of using the result as an analytical, rather than legally constitutive, product.</w:t>
      </w:r>
    </w:p>
    <w:p>
      <w:pPr>
        <w:pStyle w:val="Normal"/>
        <w:spacing w:lineRule="auto" w:line="240" w:before="160" w:after="80"/>
        <w:ind w:hanging="0"/>
        <w:rPr/>
      </w:pPr>
      <w:r>
        <w:rPr>
          <w:rFonts w:cs="Times New Roman"/>
          <w:b/>
          <w:i w:val="false"/>
          <w:sz w:val="28"/>
        </w:rPr>
        <w:t>Research Results and Discussion</w:t>
      </w:r>
    </w:p>
    <w:p>
      <w:pPr>
        <w:pStyle w:val="Normal"/>
        <w:spacing w:lineRule="auto" w:line="240" w:before="0" w:after="0"/>
        <w:ind w:firstLine="567"/>
        <w:jc w:val="both"/>
        <w:rPr/>
      </w:pPr>
      <w:r>
        <w:rPr>
          <w:rFonts w:cs="Times New Roman"/>
          <w:b w:val="false"/>
          <w:i w:val="false"/>
          <w:sz w:val="28"/>
        </w:rPr>
        <w:t>In the field of spatial development of territorial communities, some legislative requirements have not only legal but also measurable geospatial content. Such requirements may be formally defined in law while remaining insufficiently operationalized at the level of executive procedure. This creates a gap between the norm and the practice of its application: governance actors, documentation developers, land-plot owners, investors, and the public do not have a shared public way to verify how exactly the norm was applied to a specific territory.</w:t>
      </w:r>
    </w:p>
    <w:p>
      <w:pPr>
        <w:pStyle w:val="Normal"/>
        <w:spacing w:lineRule="auto" w:line="240" w:before="0" w:after="0"/>
        <w:ind w:firstLine="567"/>
        <w:jc w:val="both"/>
        <w:rPr/>
      </w:pPr>
      <w:r>
        <w:rPr>
          <w:rFonts w:cs="Times New Roman"/>
          <w:b w:val="false"/>
          <w:i w:val="false"/>
          <w:sz w:val="28"/>
        </w:rPr>
        <w:t>The issue of the parameters and conditions for establishing water-protection restrictions, in particular the regime of coastal protective strips (CPS), is a representative example of this problem. The Water Code of Ukraine and the Land Code of Ukraine establish the CPS regime and the minimum parameters of their width, and also provide for doubling the minimum width when slopes exceed three degrees [8], [9]. The ecological rationale for riparian buffer zones is confirmed by studies demonstrating their role in reducing pollutant inflows to water bodies and maintaining water quality [10].</w:t>
      </w:r>
    </w:p>
    <w:p>
      <w:pPr>
        <w:pStyle w:val="Normal"/>
        <w:spacing w:lineRule="auto" w:line="240" w:before="0" w:after="0"/>
        <w:ind w:firstLine="567"/>
        <w:jc w:val="both"/>
        <w:rPr/>
      </w:pPr>
      <w:r>
        <w:rPr>
          <w:rFonts w:cs="Times New Roman"/>
          <w:b w:val="false"/>
          <w:i w:val="false"/>
          <w:sz w:val="28"/>
        </w:rPr>
        <w:t>However, for public governance tasks, the existence of a substantive legal norm is not sufficient; the method of its reproducible application is also important. If the rule on doubling the width of CPS is applied without a unified digital protocol, the result may depend on the quality of the selected data, the software used, the professional knowledge of the implementer, and information asymmetry in related governance procedures. This complicates public verification, increases legal uncertainty for owners and users of land plots, and creates additional transaction costs for public authorities, the public, and investors.</w:t>
      </w:r>
    </w:p>
    <w:p>
      <w:pPr>
        <w:pStyle w:val="Normal"/>
        <w:spacing w:lineRule="auto" w:line="240" w:before="0" w:after="0"/>
        <w:ind w:firstLine="567"/>
        <w:jc w:val="both"/>
        <w:rPr/>
      </w:pPr>
      <w:r>
        <w:rPr>
          <w:rFonts w:cs="Times New Roman"/>
          <w:b w:val="false"/>
          <w:i w:val="false"/>
          <w:sz w:val="28"/>
        </w:rPr>
        <w:t>The proposed method is aimed at formalizing an applied procedure for determining CPS boundaries in a way that can be reproduced, verified, and discussed by different public governance actors. The method is not considered a legally constitutive act and does not replace official decisions of public authorities or land-management and urban-planning documentation. Its role is to create an information product: a standardized calculation of the spatial parameters of CPS based on an open or verifiable methodology available for repeated use [11].</w:t>
      </w:r>
    </w:p>
    <w:p>
      <w:pPr>
        <w:pStyle w:val="Normal"/>
        <w:spacing w:lineRule="auto" w:line="240" w:before="0" w:after="0"/>
        <w:ind w:firstLine="567"/>
        <w:jc w:val="both"/>
        <w:rPr/>
      </w:pPr>
      <w:r>
        <w:rPr>
          <w:rFonts w:cs="Times New Roman"/>
          <w:b w:val="false"/>
          <w:i w:val="false"/>
          <w:sz w:val="28"/>
        </w:rPr>
        <w:t>In the parametric dimension, the method records the scope of application, data composition, spatial scale, result format, and limits of use. In the morphological dimension, it describes the relationships among the relevant actors: the public, professional communities, land owners and users, investors, documentation developers, holders of geospatial data, and public governance bodies. In the functional dimension, the method sets the cycle: data preparation, calculation, publication of the result, verification, collection of comments, error correction, and updating of instructions. This division corresponds to the logic of parametric, morphological, and functional descriptions of governance technology [1].</w:t>
      </w:r>
    </w:p>
    <w:p>
      <w:pPr>
        <w:pStyle w:val="Normal"/>
        <w:spacing w:lineRule="auto" w:line="240" w:before="0" w:after="0"/>
        <w:ind w:firstLine="567"/>
        <w:jc w:val="both"/>
        <w:rPr/>
      </w:pPr>
      <w:r>
        <w:rPr>
          <w:rFonts w:cs="Times New Roman"/>
          <w:b w:val="false"/>
          <w:i w:val="false"/>
          <w:sz w:val="28"/>
        </w:rPr>
        <w:t>The technical core of the method is a sequence of geospatial analysis operations that uses raster algebra to identify sections of the shoreline zone with slopes exceeding the regulatory threshold. The method provides for the use of a digital elevation model, geospatial data on water bodies, and an area-of-interest polygon. After the working rasters are prepared, distances to the nearest pixels of the water body are determined, elevations of the shoreline zone and the water body are compared, areas exceeding the regulatory slope are identified, and then a geospatial contour of the risk zone is formed.</w:t>
      </w:r>
    </w:p>
    <w:p>
      <w:pPr>
        <w:pStyle w:val="Normal"/>
        <w:spacing w:lineRule="auto" w:line="240" w:before="0" w:after="0"/>
        <w:ind w:firstLine="567"/>
        <w:jc w:val="both"/>
        <w:rPr/>
      </w:pPr>
      <w:r>
        <w:rPr>
          <w:rFonts w:cs="Times New Roman"/>
          <w:b w:val="false"/>
          <w:i w:val="false"/>
          <w:sz w:val="28"/>
        </w:rPr>
        <w:t>Practical implementation of the method is possible using open geoinformation tools. One such tool is QGIS [12], a professional open-source geographic information system that supports work with vector and raster data and whose functionality relies to a significant extent on the GDAL/OGR libraries [13] and related spatial analysis tools. For some procedures, GRASS GIS functionality can be used, in particular algorithms for calculating distances in a raster environment [14].</w:t>
      </w:r>
    </w:p>
    <w:p>
      <w:pPr>
        <w:pStyle w:val="Normal"/>
        <w:spacing w:lineRule="auto" w:line="240" w:before="0" w:after="0"/>
        <w:ind w:firstLine="567"/>
        <w:jc w:val="both"/>
        <w:rPr/>
      </w:pPr>
      <w:r>
        <w:rPr>
          <w:rFonts w:cs="Times New Roman"/>
          <w:b w:val="false"/>
          <w:i w:val="false"/>
          <w:sz w:val="28"/>
        </w:rPr>
        <w:t>The method is hosted in an open GitHub repository [11]. The repository is structured according to the logic of the underlying methodology: explanatory note, method description, input data, preparation of working data, analysis of shoreline-zone slopes, sources, comments, test datasets, and practical instructions. This organization makes GitHub not merely a place for storing files, but an environment for dissemination, verification, and communication with public governance actors, professional communities, civil society, and potential users of the method's results.</w:t>
      </w:r>
    </w:p>
    <w:p>
      <w:pPr>
        <w:pStyle w:val="Normal"/>
        <w:spacing w:lineRule="auto" w:line="240" w:before="0" w:after="0"/>
        <w:ind w:firstLine="567"/>
        <w:jc w:val="both"/>
        <w:rPr/>
      </w:pPr>
      <w:r>
        <w:rPr>
          <w:rFonts w:cs="Times New Roman"/>
          <w:b w:val="false"/>
          <w:i w:val="false"/>
          <w:sz w:val="28"/>
        </w:rPr>
        <w:t>In practical terms, GitHub can perform three functions. First, it provides access to a stable version of the method, instructions, and materials for testing. Second, it creates a feedback channel: users can submit comments, bug reports, and proposals concerning parameters and test cases. Third, it supports transparent versioning, which makes it possible to track changes in the procedure and the rationale for those changes. Under this logic, GitHub does not replace the official legal mechanism, but it can serve as a tool for open communication and for preparing higher-quality procedures of instruction-based governance.</w:t>
      </w:r>
    </w:p>
    <w:p>
      <w:pPr>
        <w:pStyle w:val="Normal"/>
        <w:spacing w:lineRule="auto" w:line="240" w:before="0" w:after="0"/>
        <w:ind w:firstLine="567"/>
        <w:jc w:val="both"/>
        <w:rPr/>
      </w:pPr>
      <w:r>
        <w:rPr>
          <w:rFonts w:cs="Times New Roman"/>
          <w:b w:val="false"/>
          <w:i w:val="false"/>
          <w:sz w:val="28"/>
        </w:rPr>
        <w:t>The governance novelty of the solution lies in the fact that the calculation procedure is presented not as a closed expert conclusion, but as an open protocol. Such a protocol may include a description of data, algorithms, calculation parameters, QGIS models, test datasets, expected results, and metadata requirements. The result of the method has informational status: it does not create rights by itself, but it gives participants in the governance network a shared, measurable, and reproducible description of a risk or a possible land-use restriction.</w:t>
      </w:r>
    </w:p>
    <w:p>
      <w:pPr>
        <w:pStyle w:val="Normal"/>
        <w:spacing w:lineRule="auto" w:line="240" w:before="0" w:after="0"/>
        <w:ind w:firstLine="567"/>
        <w:jc w:val="both"/>
        <w:rPr/>
      </w:pPr>
      <w:r>
        <w:rPr>
          <w:rFonts w:cs="Times New Roman"/>
          <w:b w:val="false"/>
          <w:i w:val="false"/>
          <w:sz w:val="28"/>
        </w:rPr>
        <w:t>The proposed approach is consistent with the digital government framework, in which data, digital services, openness by default, and platform logic are regarded as conditions for strengthening the capacity of the public sector [4]. It also corresponds to the rules-as-code approach, within which rules may exist not only as natural-language text but also as machine-readable or algorithmically reproducible models of application [5], while not replacing legal norms but creating open infrastructure for their technical implementation.</w:t>
      </w:r>
    </w:p>
    <w:p>
      <w:pPr>
        <w:pStyle w:val="Normal"/>
        <w:spacing w:lineRule="auto" w:line="240" w:before="0" w:after="0"/>
        <w:ind w:firstLine="567"/>
        <w:jc w:val="both"/>
        <w:rPr/>
      </w:pPr>
      <w:r>
        <w:rPr>
          <w:rFonts w:cs="Times New Roman"/>
          <w:b w:val="false"/>
          <w:i w:val="false"/>
          <w:sz w:val="28"/>
        </w:rPr>
        <w:t>At the same time, the method has clearly defined limits of application. The quality of the result depends on the quality of the input data. Therefore, the result should be used as analytical and evidence-based information material, not as an automatic establishment of the legal regime of a land plot. Further development of the method should focus on testing it on different types of terrain, comparing the results with topographic survey data, preparing training materials, and introducing a regular update cycle based on public comments.</w:t>
      </w:r>
    </w:p>
    <w:p>
      <w:pPr>
        <w:pStyle w:val="Normal"/>
        <w:spacing w:lineRule="auto" w:line="240" w:before="0" w:after="0"/>
        <w:ind w:firstLine="567"/>
        <w:jc w:val="both"/>
        <w:rPr/>
      </w:pPr>
      <w:r>
        <w:rPr>
          <w:rFonts w:cs="Times New Roman"/>
          <w:b w:val="false"/>
          <w:i w:val="false"/>
          <w:sz w:val="28"/>
        </w:rPr>
        <w:t>The expected result of applying the method is to reduce uncertainty concerning the practical application of the requirement to double the width of CPS, increase the transparency of interaction among public governance actors, and create a shared information basis for control, planning, and preliminary risk assessment. For territorial communities, this may contribute to better spatial planning; for investors, to the preliminary identification of risky areas; for the public, to the public verification of environmentally significant restrictions; and for public authorities, to a reduction in transaction costs associated with repeated expert interpretation of the same norm.</w:t>
      </w:r>
    </w:p>
    <w:p>
      <w:pPr>
        <w:pStyle w:val="Normal"/>
        <w:spacing w:lineRule="auto" w:line="240" w:before="160" w:after="80"/>
        <w:ind w:hanging="0"/>
        <w:rPr/>
      </w:pPr>
      <w:r>
        <w:rPr>
          <w:rFonts w:cs="Times New Roman"/>
          <w:b/>
          <w:i w:val="false"/>
          <w:sz w:val="28"/>
        </w:rPr>
        <w:t>Conclusions</w:t>
      </w:r>
    </w:p>
    <w:p>
      <w:pPr>
        <w:pStyle w:val="Normal"/>
        <w:spacing w:lineRule="auto" w:line="240" w:before="0" w:after="0"/>
        <w:ind w:firstLine="567"/>
        <w:jc w:val="both"/>
        <w:rPr/>
      </w:pPr>
      <w:r>
        <w:rPr>
          <w:rFonts w:cs="Times New Roman"/>
          <w:b w:val="false"/>
          <w:i w:val="false"/>
          <w:sz w:val="28"/>
        </w:rPr>
        <w:t>Imperative substantive legal provisions of public legislation do not always require the creation of new bureaucratic institutions or closed administrative procedures for practical implementation. If the content of a norm can be operationalized through measurable parameters, open data, digital tools, and reproducible protocols, its implementation can be supported by instruction-based governance infrastructure within a network governance model.</w:t>
      </w:r>
    </w:p>
    <w:p>
      <w:pPr>
        <w:pStyle w:val="Normal"/>
        <w:spacing w:lineRule="auto" w:line="240" w:before="0" w:after="0"/>
        <w:ind w:firstLine="567"/>
        <w:jc w:val="both"/>
        <w:rPr/>
      </w:pPr>
      <w:r>
        <w:rPr>
          <w:rFonts w:cs="Times New Roman"/>
          <w:b w:val="false"/>
          <w:i w:val="false"/>
          <w:sz w:val="28"/>
        </w:rPr>
        <w:t>The method for determining coastal protective strips using raster algebra is an example of this approach. It does not replace legislation and does not create an independent legal regime for a land plot, but it forms a standardized information product suitable for verification, discussion, repeated application, and further improvement.</w:t>
      </w:r>
    </w:p>
    <w:p>
      <w:pPr>
        <w:pStyle w:val="Normal"/>
        <w:spacing w:lineRule="auto" w:line="240" w:before="0" w:after="0"/>
        <w:ind w:firstLine="567"/>
        <w:jc w:val="both"/>
        <w:rPr/>
      </w:pPr>
      <w:r>
        <w:rPr>
          <w:rFonts w:cs="Times New Roman"/>
          <w:b w:val="false"/>
          <w:i w:val="false"/>
          <w:sz w:val="28"/>
        </w:rPr>
        <w:t>Open publication of the method in a GitHub repository makes it possible to transform a technical procedure into an element of public interaction infrastructure: with a stable version of the instructions, a feedback channel, the possibility of bug reports, and transparent versioning. In this model, the state retains its legal role, while part of the operational cycle is supported by a network of professional, civic, and user actors, which increases the verifiability of the result and the procedural legitimacy of governance decisions.</w:t>
      </w:r>
    </w:p>
    <w:p>
      <w:pPr>
        <w:pStyle w:val="Normal"/>
        <w:spacing w:lineRule="auto" w:line="240" w:before="160" w:after="80"/>
        <w:ind w:hanging="0"/>
        <w:rPr/>
      </w:pPr>
      <w:r>
        <w:rPr>
          <w:rFonts w:cs="Times New Roman"/>
          <w:b/>
          <w:i w:val="false"/>
          <w:sz w:val="28"/>
        </w:rPr>
        <w:t>References</w:t>
      </w:r>
    </w:p>
    <w:p>
      <w:pPr>
        <w:pStyle w:val="Normal"/>
        <w:numPr>
          <w:ilvl w:val="0"/>
          <w:numId w:val="7"/>
        </w:numPr>
        <w:spacing w:lineRule="auto" w:line="240" w:before="0" w:after="0"/>
        <w:jc w:val="both"/>
        <w:rPr/>
      </w:pPr>
      <w:r>
        <w:rPr>
          <w:rFonts w:cs="Times New Roman"/>
          <w:b w:val="false"/>
          <w:i w:val="false"/>
          <w:sz w:val="28"/>
        </w:rPr>
        <w:t xml:space="preserve">Boiko, O., &amp; Obolenskyi, O. (2025). The method of morphological analysis of contemporary models of public governance. Scientific Notes, 40(3), 49–65. </w:t>
      </w:r>
      <w:hyperlink r:id="rId3">
        <w:r>
          <w:rPr>
            <w:rStyle w:val="ListLabel73"/>
            <w:rFonts w:cs="Times New Roman"/>
            <w:b w:val="false"/>
            <w:i w:val="false"/>
            <w:color w:val="0563C1"/>
            <w:sz w:val="28"/>
            <w:u w:val="single"/>
          </w:rPr>
          <w:t>https://doi.org/10.33111/vz_kneu.40.25.03.05.032.038</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Christensen, Tom &amp; Lægreid, Per. (2006). Agencification and regulatory reforms. Autonomy and Regulation: Coping with Agencies in the Modern State. </w:t>
      </w:r>
      <w:hyperlink r:id="rId4">
        <w:r>
          <w:rPr>
            <w:rStyle w:val="ListLabel73"/>
            <w:rFonts w:cs="Times New Roman"/>
            <w:b w:val="false"/>
            <w:i w:val="false"/>
            <w:color w:val="0563C1"/>
            <w:sz w:val="28"/>
            <w:u w:val="single"/>
          </w:rPr>
          <w:t>https://www.researchgate.net/publication/228964345_Agencification_and_regulatory_reforms</w:t>
        </w:r>
      </w:hyperlink>
    </w:p>
    <w:p>
      <w:pPr>
        <w:pStyle w:val="Normal"/>
        <w:numPr>
          <w:ilvl w:val="0"/>
          <w:numId w:val="7"/>
        </w:numPr>
        <w:spacing w:lineRule="auto" w:line="240" w:before="0" w:after="0"/>
        <w:jc w:val="both"/>
        <w:rPr/>
      </w:pPr>
      <w:r>
        <w:rPr>
          <w:rFonts w:cs="Times New Roman"/>
          <w:b w:val="false"/>
          <w:i w:val="false"/>
          <w:sz w:val="28"/>
        </w:rPr>
        <w:t>Mahoney, James &amp; Thelen, Kathleen. (2010). A Theory of Gradual Institutional Change. Explaining Institutional Change, 1-37 (2010). 10.1017/CBO9780511806414.003.</w:t>
      </w:r>
    </w:p>
    <w:p>
      <w:pPr>
        <w:pStyle w:val="Normal"/>
        <w:numPr>
          <w:ilvl w:val="0"/>
          <w:numId w:val="7"/>
        </w:numPr>
        <w:spacing w:lineRule="auto" w:line="240" w:before="0" w:after="0"/>
        <w:jc w:val="both"/>
        <w:rPr/>
      </w:pPr>
      <w:r>
        <w:rPr>
          <w:rFonts w:cs="Times New Roman"/>
          <w:b w:val="false"/>
          <w:i w:val="false"/>
          <w:sz w:val="28"/>
        </w:rPr>
        <w:t xml:space="preserve">OECD. (2020). The OECD Digital Government Policy Framework: Six dimensions of a Digital Government. OECD Public Governance Policy Papers, No. 2. OECD Publishing. </w:t>
      </w:r>
      <w:hyperlink r:id="rId5">
        <w:r>
          <w:rPr>
            <w:rStyle w:val="ListLabel73"/>
            <w:rFonts w:cs="Times New Roman"/>
            <w:b w:val="false"/>
            <w:i w:val="false"/>
            <w:color w:val="0563C1"/>
            <w:sz w:val="28"/>
            <w:u w:val="single"/>
          </w:rPr>
          <w:t>https://doi.org/10.1787/f64fed2a-en</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Ansell, C., &amp; Gash, A. (2008). Collaborative governance in theory and practice. Journal of Public Administration Research and Theory, 18(4), 543–571. </w:t>
      </w:r>
      <w:hyperlink r:id="rId6">
        <w:r>
          <w:rPr>
            <w:rStyle w:val="ListLabel73"/>
            <w:rFonts w:cs="Times New Roman"/>
            <w:b w:val="false"/>
            <w:i w:val="false"/>
            <w:color w:val="0563C1"/>
            <w:sz w:val="28"/>
            <w:u w:val="single"/>
          </w:rPr>
          <w:t>https://doi.org/10.1093/jopart/mum032</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Torfing, J., Sørensen, E., &amp; Røiseland, A. (2019). Transforming the public sector into an arena for co-creation: Barriers, drivers, benefits, and ways forward. Administration &amp; Society, 51(5), 795–825. </w:t>
      </w:r>
      <w:hyperlink r:id="rId7">
        <w:r>
          <w:rPr>
            <w:rStyle w:val="ListLabel73"/>
            <w:rFonts w:cs="Times New Roman"/>
            <w:b w:val="false"/>
            <w:i w:val="false"/>
            <w:color w:val="0563C1"/>
            <w:sz w:val="28"/>
            <w:u w:val="single"/>
          </w:rPr>
          <w:t>https://doi.org/10.1177/0095399716680057</w:t>
        </w:r>
      </w:hyperlink>
    </w:p>
    <w:p>
      <w:pPr>
        <w:pStyle w:val="Normal"/>
        <w:numPr>
          <w:ilvl w:val="0"/>
          <w:numId w:val="7"/>
        </w:numPr>
        <w:spacing w:lineRule="auto" w:line="240" w:before="0" w:after="0"/>
        <w:jc w:val="both"/>
        <w:rPr/>
      </w:pPr>
      <w:r>
        <w:rPr>
          <w:rFonts w:cs="Times New Roman"/>
          <w:b w:val="false"/>
          <w:i w:val="false"/>
          <w:sz w:val="28"/>
        </w:rPr>
        <w:t xml:space="preserve">Mohun, J., &amp; Roberts, A. (2020). Cracking the Code: Rulemaking for Humans and Machines. OECD Working Papers on Public Governance, No. 42. OECD Publishing. </w:t>
      </w:r>
      <w:hyperlink r:id="rId8">
        <w:r>
          <w:rPr>
            <w:rStyle w:val="ListLabel73"/>
            <w:rFonts w:cs="Times New Roman"/>
            <w:b w:val="false"/>
            <w:i w:val="false"/>
            <w:color w:val="0563C1"/>
            <w:sz w:val="28"/>
            <w:u w:val="single"/>
          </w:rPr>
          <w:t>https://doi.org/10.1787/3afe6ba5-en</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Water Code of Ukraine. (1995). Law of Ukraine No. 213/95-VR of 6 June 1995. Verkhovna Rada of Ukraine. </w:t>
      </w:r>
      <w:hyperlink r:id="rId9">
        <w:r>
          <w:rPr>
            <w:rStyle w:val="ListLabel73"/>
            <w:rFonts w:cs="Times New Roman"/>
            <w:b w:val="false"/>
            <w:i w:val="false"/>
            <w:color w:val="0563C1"/>
            <w:sz w:val="28"/>
            <w:u w:val="single"/>
          </w:rPr>
          <w:t>https://zakon.rada.gov.ua/go/213/95-%D0%B2%D1%80</w:t>
        </w:r>
      </w:hyperlink>
    </w:p>
    <w:p>
      <w:pPr>
        <w:pStyle w:val="Normal"/>
        <w:numPr>
          <w:ilvl w:val="0"/>
          <w:numId w:val="7"/>
        </w:numPr>
        <w:spacing w:lineRule="auto" w:line="240" w:before="0" w:after="0"/>
        <w:jc w:val="both"/>
        <w:rPr/>
      </w:pPr>
      <w:r>
        <w:rPr>
          <w:rFonts w:cs="Times New Roman"/>
          <w:b w:val="false"/>
          <w:i w:val="false"/>
          <w:sz w:val="28"/>
        </w:rPr>
        <w:t xml:space="preserve">Land Code of Ukraine. (2001). Law of Ukraine No. 2768-III of 25 October 2001. Verkhovna Rada of Ukraine. </w:t>
      </w:r>
      <w:hyperlink r:id="rId10">
        <w:r>
          <w:rPr>
            <w:rStyle w:val="ListLabel73"/>
            <w:rFonts w:cs="Times New Roman"/>
            <w:b w:val="false"/>
            <w:i w:val="false"/>
            <w:color w:val="0563C1"/>
            <w:sz w:val="28"/>
            <w:u w:val="single"/>
          </w:rPr>
          <w:t>https://zakon.rada.gov.ua/go/2768-14</w:t>
        </w:r>
      </w:hyperlink>
    </w:p>
    <w:p>
      <w:pPr>
        <w:pStyle w:val="Normal"/>
        <w:numPr>
          <w:ilvl w:val="0"/>
          <w:numId w:val="7"/>
        </w:numPr>
        <w:spacing w:lineRule="auto" w:line="240" w:before="0" w:after="0"/>
        <w:jc w:val="both"/>
        <w:rPr/>
      </w:pPr>
      <w:r>
        <w:rPr>
          <w:rFonts w:cs="Times New Roman"/>
          <w:b w:val="false"/>
          <w:i w:val="false"/>
          <w:sz w:val="28"/>
        </w:rPr>
        <w:t xml:space="preserve">Mayer, P. M., Reynolds, S. K., McCutchen, M. D., &amp; Canfield, T. J. (2007). Meta-analysis of nitrogen removal in riparian buffers. Journal of Environmental Quality, 36(4), 1172–1180. </w:t>
      </w:r>
      <w:hyperlink r:id="rId11">
        <w:r>
          <w:rPr>
            <w:rStyle w:val="ListLabel73"/>
            <w:rFonts w:cs="Times New Roman"/>
            <w:b w:val="false"/>
            <w:i w:val="false"/>
            <w:color w:val="0563C1"/>
            <w:sz w:val="28"/>
            <w:u w:val="single"/>
          </w:rPr>
          <w:t>https://doi.org/10.2134/jeq2006.0462</w:t>
        </w:r>
      </w:hyperlink>
    </w:p>
    <w:p>
      <w:pPr>
        <w:pStyle w:val="Normal"/>
        <w:numPr>
          <w:ilvl w:val="0"/>
          <w:numId w:val="7"/>
        </w:numPr>
        <w:spacing w:lineRule="auto" w:line="240" w:before="0" w:after="0"/>
        <w:jc w:val="both"/>
        <w:rPr/>
      </w:pPr>
      <w:r>
        <w:rPr>
          <w:rFonts w:cs="Times New Roman"/>
          <w:b w:val="false"/>
          <w:i w:val="false"/>
          <w:sz w:val="28"/>
        </w:rPr>
        <w:t xml:space="preserve"> </w:t>
      </w:r>
      <w:r>
        <w:rPr>
          <w:rFonts w:cs="Times New Roman"/>
          <w:b w:val="false"/>
          <w:i w:val="false"/>
          <w:sz w:val="28"/>
        </w:rPr>
        <w:t xml:space="preserve">Boiko, O., &amp; Maksymova, Y. (2026). pzs_method. [GitHub repository]. GitHub. </w:t>
      </w:r>
      <w:hyperlink r:id="rId12">
        <w:r>
          <w:rPr>
            <w:rStyle w:val="ListLabel73"/>
            <w:rFonts w:cs="Times New Roman"/>
            <w:b w:val="false"/>
            <w:i w:val="false"/>
            <w:color w:val="0563C1"/>
            <w:sz w:val="28"/>
            <w:u w:val="single"/>
          </w:rPr>
          <w:t>https://github.com/oleksaboiko/pzs_method</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 </w:t>
      </w:r>
      <w:r>
        <w:rPr>
          <w:rFonts w:cs="Times New Roman"/>
          <w:b w:val="false"/>
          <w:i w:val="false"/>
          <w:sz w:val="28"/>
        </w:rPr>
        <w:t xml:space="preserve">QGIS.org. (2026). QGIS Geographic Information System. QGIS Association. </w:t>
      </w:r>
      <w:hyperlink r:id="rId13">
        <w:r>
          <w:rPr>
            <w:rStyle w:val="ListLabel73"/>
            <w:rFonts w:cs="Times New Roman"/>
            <w:b w:val="false"/>
            <w:i w:val="false"/>
            <w:color w:val="0563C1"/>
            <w:sz w:val="28"/>
            <w:u w:val="single"/>
          </w:rPr>
          <w:t>https://qgis.org</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GDAL/OGR contributors. (2026). GDAL documentation. Open Source Geospatial Foundation. </w:t>
      </w:r>
      <w:hyperlink r:id="rId14">
        <w:r>
          <w:rPr>
            <w:rStyle w:val="ListLabel73"/>
            <w:rFonts w:cs="Times New Roman"/>
            <w:b w:val="false"/>
            <w:i w:val="false"/>
            <w:color w:val="0563C1"/>
            <w:sz w:val="28"/>
            <w:u w:val="single"/>
          </w:rPr>
          <w:t>https://gdal.org/</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GRASS Development Team. (2026). r.grow.distance - GRASS GIS manual. GRASS GIS. </w:t>
      </w:r>
      <w:hyperlink r:id="rId15">
        <w:r>
          <w:rPr>
            <w:rStyle w:val="ListLabel73"/>
            <w:rFonts w:cs="Times New Roman"/>
            <w:b w:val="false"/>
            <w:i w:val="false"/>
            <w:color w:val="0563C1"/>
            <w:sz w:val="28"/>
            <w:u w:val="single"/>
          </w:rPr>
          <w:t>https://grass.osgeo.org/grass-stable/manuals/r.grow.distance.html</w:t>
        </w:r>
      </w:hyperlink>
      <w:r>
        <w:rPr>
          <w:rFonts w:cs="Times New Roman"/>
          <w:b w:val="false"/>
          <w:i w:val="false"/>
          <w:sz w:val="28"/>
        </w:rPr>
        <w:t xml:space="preserve"> </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Times New Roman">
    <w:charset w:val="01"/>
    <w:family w:val="roman"/>
    <w:pitch w:val="default"/>
  </w:font>
  <w:font w:name="Calibri">
    <w:charset w:val="01"/>
    <w:family w:val="roman"/>
    <w:pitch w:val="default"/>
  </w:font>
  <w:font w:name="Courier">
    <w:altName w:val="Courier New"/>
    <w:charset w:val="01"/>
    <w:family w:val="roman"/>
    <w:pitch w:val="default"/>
  </w:font>
  <w:font w:name="Liberation Sans">
    <w:altName w:val="Arial"/>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ind w:firstLine="567"/>
      <w:jc w:val="left"/>
    </w:pPr>
    <w:rPr>
      <w:rFonts w:ascii="Times New Roman" w:hAnsi="Times New Roman" w:eastAsia="" w:cs="Times New Roman"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120"/>
      <w:ind w:hanging="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120" w:after="120"/>
      <w:ind w:hanging="0"/>
      <w:outlineLvl w:val="1"/>
    </w:pPr>
    <w:rPr>
      <w:rFonts w:ascii="Calibri" w:hAnsi="Calibri" w:eastAsia=""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tyle5">
    <w:name w:val="Символ нумерації"/>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Покажчик"/>
    <w:basedOn w:val="Normal"/>
    <w:qFormat/>
    <w:pPr>
      <w:suppressLineNumbers/>
    </w:pPr>
    <w:rPr>
      <w:rFonts w:ascii="Times New Roman" w:hAnsi="Times New Roman"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20" w:after="120"/>
      <w:ind w:hanging="0"/>
      <w:contextualSpacing/>
    </w:pPr>
    <w:rPr>
      <w:rFonts w:ascii="Calibri" w:hAnsi="Calibri" w:eastAsia="" w:cs="" w:asciiTheme="majorHAnsi" w:cstheme="majorBidi" w:eastAsiaTheme="majorEastAsia" w:hAnsiTheme="majorHAnsi"/>
      <w:b/>
      <w:color w:themeColor="text2" w:themeShade="bf" w:val="17365D"/>
      <w:spacing w:val="5"/>
      <w:kern w:val="2"/>
      <w:sz w:val="2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3-3676-6043" TargetMode="External"/><Relationship Id="rId3" Type="http://schemas.openxmlformats.org/officeDocument/2006/relationships/hyperlink" Target="https://doi.org/10.33111/vz_kneu.40.25.03.05.032.038" TargetMode="External"/><Relationship Id="rId4" Type="http://schemas.openxmlformats.org/officeDocument/2006/relationships/hyperlink" Target="https://www.researchgate.net/publication/228964345_Agencification_and_regulatory_reforms" TargetMode="External"/><Relationship Id="rId5" Type="http://schemas.openxmlformats.org/officeDocument/2006/relationships/hyperlink" Target="https://doi.org/10.1787/f64fed2a-en" TargetMode="External"/><Relationship Id="rId6" Type="http://schemas.openxmlformats.org/officeDocument/2006/relationships/hyperlink" Target="https://doi.org/10.1093/jopart/mum032" TargetMode="External"/><Relationship Id="rId7" Type="http://schemas.openxmlformats.org/officeDocument/2006/relationships/hyperlink" Target="https://doi.org/10.1177/0095399716680057" TargetMode="External"/><Relationship Id="rId8" Type="http://schemas.openxmlformats.org/officeDocument/2006/relationships/hyperlink" Target="https://doi.org/10.1787/3afe6ba5-en" TargetMode="External"/><Relationship Id="rId9" Type="http://schemas.openxmlformats.org/officeDocument/2006/relationships/hyperlink" Target="https://zakon.rada.gov.ua/go/213/95-&#1074;&#1088;" TargetMode="External"/><Relationship Id="rId10" Type="http://schemas.openxmlformats.org/officeDocument/2006/relationships/hyperlink" Target="https://zakon.rada.gov.ua/go/2768-14" TargetMode="External"/><Relationship Id="rId11" Type="http://schemas.openxmlformats.org/officeDocument/2006/relationships/hyperlink" Target="https://doi.org/10.2134/jeq2006.0462" TargetMode="External"/><Relationship Id="rId12" Type="http://schemas.openxmlformats.org/officeDocument/2006/relationships/hyperlink" Target="https://github.com/oleksaboiko/pzs_method" TargetMode="External"/><Relationship Id="rId13" Type="http://schemas.openxmlformats.org/officeDocument/2006/relationships/hyperlink" Target="https://qgis.org/" TargetMode="External"/><Relationship Id="rId14" Type="http://schemas.openxmlformats.org/officeDocument/2006/relationships/hyperlink" Target="https://gdal.org/" TargetMode="External"/><Relationship Id="rId15" Type="http://schemas.openxmlformats.org/officeDocument/2006/relationships/hyperlink" Target="https://grass.osgeo.org/grass-stable/manuals/r.grow.distance.html"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Application>LibreOffice/24.2.7.2$Linux_X86_64 LibreOffice_project/420$Build-2</Application>
  <AppVersion>15.0000</AppVersion>
  <Pages>6</Pages>
  <Words>2342</Words>
  <Characters>14747</Characters>
  <CharactersWithSpaces>17030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uk-UA</dc:language>
  <cp:lastModifiedBy>Oleksii Boiko</cp:lastModifiedBy>
  <dcterms:modified xsi:type="dcterms:W3CDTF">2026-06-07T23:25:07Z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