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160"/>
        <w:ind w:hanging="0"/>
        <w:jc w:val="center"/>
        <w:rPr/>
      </w:pPr>
      <w:r>
        <w:rPr>
          <w:rFonts w:cs="Times New Roman"/>
          <w:b/>
          <w:i w:val="false"/>
          <w:sz w:val="36"/>
        </w:rPr>
        <w:t xml:space="preserve">ПРИКЛАД </w:t>
      </w:r>
      <w:r>
        <w:rPr>
          <w:rFonts w:cs="Times New Roman"/>
          <w:b/>
          <w:i w:val="false"/>
          <w:sz w:val="36"/>
        </w:rPr>
        <w:t>ІНСТРУМЕНТІВ</w:t>
      </w:r>
      <w:r>
        <w:rPr>
          <w:rFonts w:cs="Times New Roman"/>
          <w:b/>
          <w:i w:val="false"/>
          <w:sz w:val="36"/>
        </w:rPr>
        <w:t xml:space="preserve"> МЕРЕЖЕВОГО УПРАВЛІННЯ У СФЕРІ ПРОСТОРОВОГО РОЗВИТКУ</w:t>
      </w:r>
    </w:p>
    <w:p>
      <w:pPr>
        <w:pStyle w:val="Normal"/>
        <w:spacing w:lineRule="auto" w:line="240"/>
        <w:ind w:hanging="0"/>
        <w:jc w:val="right"/>
        <w:rPr/>
      </w:pPr>
      <w:r>
        <w:rPr>
          <w:rFonts w:cs="Times New Roman"/>
          <w:b/>
          <w:i w:val="false"/>
          <w:sz w:val="28"/>
        </w:rPr>
        <w:t>Олексій БОЙКО</w:t>
      </w:r>
    </w:p>
    <w:p>
      <w:pPr>
        <w:pStyle w:val="Normal"/>
        <w:spacing w:lineRule="auto" w:line="240"/>
        <w:ind w:hanging="0"/>
        <w:jc w:val="right"/>
        <w:rPr/>
      </w:pPr>
      <w:r>
        <w:rPr>
          <w:rFonts w:cs="Times New Roman"/>
          <w:b w:val="false"/>
          <w:i w:val="false"/>
          <w:sz w:val="28"/>
        </w:rPr>
        <w:t>аспірант кафедри регіоналістики і туризму</w:t>
      </w:r>
    </w:p>
    <w:p>
      <w:pPr>
        <w:pStyle w:val="Normal"/>
        <w:spacing w:lineRule="auto" w:line="240"/>
        <w:ind w:hanging="0"/>
        <w:jc w:val="right"/>
        <w:rPr/>
      </w:pPr>
      <w:r>
        <w:rPr>
          <w:rFonts w:cs="Times New Roman"/>
          <w:b w:val="false"/>
          <w:i w:val="false"/>
          <w:sz w:val="28"/>
        </w:rPr>
        <w:t>Київський національний економічний університет імені Вадима Гетьмана, Україна</w:t>
      </w:r>
    </w:p>
    <w:p>
      <w:pPr>
        <w:pStyle w:val="Normal"/>
        <w:spacing w:lineRule="auto" w:line="240"/>
        <w:ind w:hanging="0"/>
        <w:jc w:val="right"/>
        <w:rPr/>
      </w:pPr>
      <w:r>
        <w:rPr>
          <w:rFonts w:cs="Times New Roman"/>
          <w:b w:val="false"/>
          <w:i w:val="false"/>
          <w:sz w:val="28"/>
        </w:rPr>
        <w:t xml:space="preserve">ORCID: </w:t>
      </w:r>
      <w:hyperlink r:id="rId2">
        <w:r>
          <w:rPr>
            <w:rStyle w:val="Hyperlink"/>
            <w:rFonts w:cs="Times New Roman"/>
            <w:b w:val="false"/>
            <w:i w:val="false"/>
            <w:sz w:val="28"/>
          </w:rPr>
          <w:t>https://orcid.org/0000-0003-3676-6043</w:t>
        </w:r>
      </w:hyperlink>
      <w:r>
        <w:rPr>
          <w:rFonts w:cs="Times New Roman"/>
          <w:b w:val="false"/>
          <w:i w:val="false"/>
          <w:sz w:val="28"/>
        </w:rPr>
        <w:t xml:space="preserve"> </w:t>
      </w:r>
    </w:p>
    <w:p>
      <w:pPr>
        <w:pStyle w:val="Normal"/>
        <w:spacing w:lineRule="auto" w:line="240"/>
        <w:ind w:hanging="0"/>
        <w:jc w:val="right"/>
        <w:rPr/>
      </w:pPr>
      <w:r>
        <w:rPr>
          <w:rFonts w:cs="Times New Roman"/>
          <w:b w:val="false"/>
          <w:i w:val="false"/>
          <w:sz w:val="28"/>
        </w:rPr>
        <w:t>e-mail: contact@juliesdata.com</w:t>
      </w:r>
    </w:p>
    <w:p>
      <w:pPr>
        <w:pStyle w:val="Normal"/>
        <w:spacing w:lineRule="auto" w:line="240" w:before="160" w:after="80"/>
        <w:ind w:hanging="0"/>
        <w:rPr/>
      </w:pPr>
      <w:r>
        <w:rPr>
          <w:rFonts w:cs="Times New Roman"/>
          <w:b/>
          <w:i w:val="false"/>
          <w:sz w:val="28"/>
        </w:rPr>
        <w:t>Анотація</w:t>
      </w:r>
    </w:p>
    <w:p>
      <w:pPr>
        <w:pStyle w:val="Normal"/>
        <w:spacing w:lineRule="auto" w:line="240" w:before="0" w:after="0"/>
        <w:ind w:firstLine="567"/>
        <w:jc w:val="both"/>
        <w:rPr/>
      </w:pPr>
      <w:r>
        <w:rPr>
          <w:rFonts w:cs="Times New Roman"/>
          <w:b w:val="false"/>
          <w:i w:val="false"/>
          <w:sz w:val="28"/>
        </w:rPr>
        <w:t>У статті розглянуто проблему операціоналізації матеріально-правових приписів публічного законодавства, які встановлюють вимірювані обмеження або параметри управління, але не містять повної виконавчої процедури їх застосування. Запропоновано підхід до побудови відкритої інфраструктури управління за інструкціями в мережевій моделі публічного управління, у якій законодавча норма операціоналізується через використання цифрових технологій, відкритих даних і протоколів обміну інформацією, а також публічної комунікації між суб’єктами управління. Як приклад використано вимоги законодавства України щодо параметрів водоохоронних обмежень та розроблено метод визначення таких обмежень за допомогою растрової алгебри та відкритих геоінформаційних інструментів, оприлюднений у GitHub-репозиторії для перевірки, обговорення та подальшого вдосконалення.</w:t>
      </w:r>
    </w:p>
    <w:p>
      <w:pPr>
        <w:pStyle w:val="Normal"/>
        <w:spacing w:lineRule="auto" w:line="240" w:before="0" w:after="0"/>
        <w:ind w:hanging="0"/>
        <w:rPr>
          <w:rFonts w:ascii="Times New Roman" w:hAnsi="Times New Roman" w:cs="Times New Roman"/>
          <w:b/>
          <w:i w:val="false"/>
          <w:i w:val="false"/>
          <w:sz w:val="28"/>
        </w:rPr>
      </w:pPr>
      <w:r>
        <w:rPr>
          <w:rFonts w:cs="Times New Roman"/>
          <w:b/>
          <w:i w:val="false"/>
          <w:sz w:val="28"/>
        </w:rPr>
      </w:r>
    </w:p>
    <w:p>
      <w:pPr>
        <w:pStyle w:val="Normal"/>
        <w:spacing w:lineRule="auto" w:line="240" w:before="0" w:after="0"/>
        <w:ind w:hanging="0"/>
        <w:rPr>
          <w:i/>
          <w:i/>
          <w:iCs/>
        </w:rPr>
      </w:pPr>
      <w:r>
        <w:rPr>
          <w:rFonts w:cs="Times New Roman"/>
          <w:b/>
          <w:i/>
          <w:iCs/>
          <w:sz w:val="28"/>
        </w:rPr>
        <w:t>Ключові слова:</w:t>
      </w:r>
      <w:r>
        <w:rPr>
          <w:rFonts w:cs="Times New Roman"/>
          <w:b w:val="false"/>
          <w:i/>
          <w:iCs/>
          <w:sz w:val="28"/>
        </w:rPr>
        <w:t xml:space="preserve"> публічне управління, мережеве врядування, растрова алгебра, ГІС, морфологічний аналіз.</w:t>
      </w:r>
    </w:p>
    <w:p>
      <w:pPr>
        <w:pStyle w:val="Normal"/>
        <w:spacing w:lineRule="auto" w:line="240" w:before="160" w:after="80"/>
        <w:ind w:hanging="0"/>
        <w:rPr/>
      </w:pPr>
      <w:r>
        <w:rPr>
          <w:rFonts w:cs="Times New Roman"/>
          <w:b/>
          <w:i w:val="false"/>
          <w:sz w:val="28"/>
        </w:rPr>
        <w:t>Вступ</w:t>
      </w:r>
    </w:p>
    <w:p>
      <w:pPr>
        <w:pStyle w:val="Normal"/>
        <w:spacing w:lineRule="auto" w:line="240" w:before="0" w:after="0"/>
        <w:ind w:firstLine="567"/>
        <w:jc w:val="both"/>
        <w:rPr/>
      </w:pPr>
      <w:r>
        <w:rPr>
          <w:rFonts w:cs="Times New Roman"/>
          <w:b w:val="false"/>
          <w:i w:val="false"/>
          <w:sz w:val="28"/>
        </w:rPr>
        <w:t>Матеріально-правові приписи публічного законодавства, які встановлюють обов’язкові обмеження, параметри або результати управління, потребують додаткової операціоналізації на рівні виконавчих процедур. Така операціоналізація має здійснюватися через прозорі, зрозумілі, відтворювані та відстежувані правила, інструкції й протоколи взаємодії між суб’єктами публічного управління та іншими заінтересованими учасниками, яких стосується відповідна норма. У термінах морфологічного аналізу це відповідає рівню управління за інструкціями, де загальна ціннісна та цільова рамка має бути переведена у стандарти дій, алгоритми, робочі процедури і карти контролю процесів [1].</w:t>
      </w:r>
    </w:p>
    <w:p>
      <w:pPr>
        <w:pStyle w:val="Normal"/>
        <w:spacing w:lineRule="auto" w:line="240" w:before="0" w:after="0"/>
        <w:ind w:firstLine="567"/>
        <w:jc w:val="both"/>
        <w:rPr/>
      </w:pPr>
      <w:r>
        <w:rPr>
          <w:rFonts w:cs="Times New Roman"/>
          <w:b w:val="false"/>
          <w:i w:val="false"/>
          <w:sz w:val="28"/>
        </w:rPr>
        <w:t>Інституційне оформлення та оновлення управлінських процедур потребує часу, організаційних зусиль і ресурсів. У дослідженнях публічного управління можна виокремити кілька способів інституціоналізації законодавчих вимог: створення або перебудову спеціалізованих органів та агентств; зміни усередині чинних інституцій через нові правила, процедури та нашарування норм; а також делегування окремих функцій управлінського циклу мережам, партнерам чи іншим недержавним суб’єктам у межах колаборативного та мережевого врядування.</w:t>
      </w:r>
    </w:p>
    <w:p>
      <w:pPr>
        <w:pStyle w:val="Normal"/>
        <w:spacing w:lineRule="auto" w:line="240" w:before="0" w:after="0"/>
        <w:ind w:firstLine="567"/>
        <w:jc w:val="both"/>
        <w:rPr/>
      </w:pPr>
      <w:r>
        <w:rPr>
          <w:rFonts w:cs="Times New Roman"/>
          <w:b w:val="false"/>
          <w:i w:val="false"/>
          <w:sz w:val="28"/>
        </w:rPr>
        <w:t>Перший підхід пов’язаний з агентифікацією, тобто переходом від інтегрованої управлінської ієрархії до більш спеціалізованих автономних або напівавтономних організацій, яким передаються окремі функції реалізації політики, регулювання чи надання послуг. Така модель може посилювати спроможність держави у складних технічних сферах, однак водночас створює додаткові вимоги до підзвітності, координації та контролю, а за слабкого інституційного дизайну може спричиняти дублювання функцій або вакуум відповідальності [2].</w:t>
      </w:r>
    </w:p>
    <w:p>
      <w:pPr>
        <w:pStyle w:val="Normal"/>
        <w:spacing w:lineRule="auto" w:line="240" w:before="0" w:after="0"/>
        <w:ind w:firstLine="567"/>
        <w:jc w:val="both"/>
        <w:rPr/>
      </w:pPr>
      <w:r>
        <w:rPr>
          <w:rFonts w:cs="Times New Roman"/>
          <w:b w:val="false"/>
          <w:i w:val="false"/>
          <w:sz w:val="28"/>
        </w:rPr>
        <w:t>Другий підхід полягає у поступових інституційних змінах усередині наявних організацій. У цьому випадку законодавча вимога формалізується через адміністративні регламенти, стандарти дій, цифрові робочі процедури, вимоги до міжвідомчого обміну даними та інші інструменти, вбудовані в діяльність чинних інституцій. Такий підхід зменшує потребу в нових організаційних ланках, але не усуває ризиків інституційної інерції, спротиву змінам і відтворення застарілих механізмів координації [3], [4].</w:t>
      </w:r>
    </w:p>
    <w:p>
      <w:pPr>
        <w:pStyle w:val="Normal"/>
        <w:spacing w:lineRule="auto" w:line="240" w:before="0" w:after="0"/>
        <w:ind w:firstLine="567"/>
        <w:jc w:val="both"/>
        <w:rPr/>
      </w:pPr>
      <w:r>
        <w:rPr>
          <w:rFonts w:cs="Times New Roman"/>
          <w:b w:val="false"/>
          <w:i w:val="false"/>
          <w:sz w:val="28"/>
        </w:rPr>
        <w:t>Третій підхід спирається на мережеве та колаборативне врядування. У класичному визначенні колаборативного врядування публічні органи залучають недержавних стейкхолдерів до розробки або реалізації політики, заснованої на консенсусі [5]. Новіші дослідження описують публічний сектор як арену співтворення, де органи влади, громадяни, громадянське суспільство та приватні актори спільно розробляють рішення для суспільних проблем [6].</w:t>
      </w:r>
    </w:p>
    <w:p>
      <w:pPr>
        <w:pStyle w:val="Normal"/>
        <w:spacing w:lineRule="auto" w:line="240" w:before="0" w:after="0"/>
        <w:ind w:firstLine="567"/>
        <w:jc w:val="both"/>
        <w:rPr/>
      </w:pPr>
      <w:r>
        <w:rPr>
          <w:rFonts w:cs="Times New Roman"/>
          <w:b w:val="false"/>
          <w:i w:val="false"/>
          <w:sz w:val="28"/>
        </w:rPr>
        <w:t>Для задач просторового розвитку така рамка є особливо важливою. Якщо зміст норми може бути операціоналізований через вимірювані параметри, відкриті дані, цифрові інструменти та відтворювані протоколи, її виконання може підтримуватися не лише закритою адміністративною процедурою, а й інфраструктурою управління за інструкціями. Така інфраструктура не скасовує юридичної ролі держави, але зменшує простір для довільного тлумачення, підвищує перевірюваність результату, забезпечує прозорість взаємодії та посилює процедурну легітимність управлінських рішень [7].</w:t>
      </w:r>
    </w:p>
    <w:p>
      <w:pPr>
        <w:pStyle w:val="Normal"/>
        <w:spacing w:lineRule="auto" w:line="240" w:before="160" w:after="80"/>
        <w:ind w:hanging="0"/>
        <w:rPr/>
      </w:pPr>
      <w:r>
        <w:rPr>
          <w:rFonts w:cs="Times New Roman"/>
          <w:b/>
          <w:i w:val="false"/>
          <w:sz w:val="28"/>
        </w:rPr>
        <w:t>Мета та задачі дослідження</w:t>
      </w:r>
    </w:p>
    <w:p>
      <w:pPr>
        <w:pStyle w:val="Normal"/>
        <w:spacing w:lineRule="auto" w:line="240" w:before="0" w:after="0"/>
        <w:ind w:firstLine="567"/>
        <w:jc w:val="both"/>
        <w:rPr>
          <w:color w:val="000000"/>
        </w:rPr>
      </w:pPr>
      <w:r>
        <w:rPr>
          <w:rFonts w:cs="Times New Roman"/>
          <w:b w:val="false"/>
          <w:i w:val="false"/>
          <w:color w:val="000000"/>
          <w:sz w:val="28"/>
        </w:rPr>
        <w:t>Метою дослідження є обґрунтування відкритого, алгоритмічно відтворюваного методу визначення водоохороних обмежень як елемента інфраструктури управління за інструкціями в мережевій моделі публічного управління.</w:t>
      </w:r>
    </w:p>
    <w:p>
      <w:pPr>
        <w:pStyle w:val="Normal"/>
        <w:spacing w:lineRule="auto" w:line="240" w:before="0" w:after="0"/>
        <w:ind w:firstLine="567"/>
        <w:jc w:val="both"/>
        <w:rPr/>
      </w:pPr>
      <w:r>
        <w:rPr>
          <w:rFonts w:cs="Times New Roman"/>
          <w:b w:val="false"/>
          <w:i w:val="false"/>
          <w:color w:val="000000"/>
          <w:sz w:val="28"/>
        </w:rPr>
        <w:t>Для досягн</w:t>
      </w:r>
      <w:r>
        <w:rPr>
          <w:rFonts w:cs="Times New Roman"/>
          <w:b w:val="false"/>
          <w:i w:val="false"/>
          <w:sz w:val="28"/>
        </w:rPr>
        <w:t>ення цієї мети поставлено такі задачі: визначити концептуальну проблему операціоналізації законодавчих вимог, що мають вимірюваний геопросторовий зміст; показати, чому законодавча норма щодо параметрів водоохороних обмежень є релевантним прикладом такої проблеми; описати технічне ядро методу визначення ПЗС за допомогою растрової алгебри; обґрунтувати роль GitHub-репозиторію як середовища поширення, перевірки, комунікації та версіювання методу; окреслити межі використання результату як аналітичного, а не правовстановлюючого продукту.</w:t>
      </w:r>
    </w:p>
    <w:p>
      <w:pPr>
        <w:pStyle w:val="Normal"/>
        <w:spacing w:lineRule="auto" w:line="240" w:before="160" w:after="80"/>
        <w:ind w:hanging="0"/>
        <w:rPr/>
      </w:pPr>
      <w:r>
        <w:rPr>
          <w:rFonts w:cs="Times New Roman"/>
          <w:b/>
          <w:i w:val="false"/>
          <w:sz w:val="28"/>
        </w:rPr>
        <w:t>Результати дослідження та їх обговорення</w:t>
      </w:r>
    </w:p>
    <w:p>
      <w:pPr>
        <w:pStyle w:val="Normal"/>
        <w:spacing w:lineRule="auto" w:line="240" w:before="0" w:after="0"/>
        <w:ind w:firstLine="567"/>
        <w:jc w:val="both"/>
        <w:rPr/>
      </w:pPr>
      <w:r>
        <w:rPr>
          <w:rFonts w:cs="Times New Roman"/>
          <w:b w:val="false"/>
          <w:i w:val="false"/>
          <w:sz w:val="28"/>
        </w:rPr>
        <w:t>У сфері просторового розвитку територіальних громад частина законодавчих вимог має не лише правовий, а й вимірюваний геопросторовий зміст. Такі вимоги можуть бути формально визначеними у законі, але залишатися недостатньо операціоналізованими на рівні виконавчої процедури. Це створює розрив між нормою та практикою її застосування: суб’єкти управління, розробники документації, власники земельних ділянок, інвестори та громадськість не мають спільного публічного способу перевірити, як саме норма була застосована до конкретної території.</w:t>
      </w:r>
    </w:p>
    <w:p>
      <w:pPr>
        <w:pStyle w:val="Normal"/>
        <w:spacing w:lineRule="auto" w:line="240" w:before="0" w:after="0"/>
        <w:ind w:firstLine="567"/>
        <w:jc w:val="both"/>
        <w:rPr/>
      </w:pPr>
      <w:r>
        <w:rPr>
          <w:rFonts w:cs="Times New Roman"/>
          <w:b w:val="false"/>
          <w:i w:val="false"/>
          <w:sz w:val="28"/>
        </w:rPr>
        <w:t>Питання параметрів та умов встановлення водоохоронних обмежень, зокрема режиму прибережно-захисних смуг є показовим прикладом такої проблеми. Водний кодекс України та Земельний кодекс України встановлюють режим ПЗС і мінімальні параметри їх ширини, а також передбачають подвоєння мінімальної ширини у разі крутизни схилів понад три градуси [8], [9]. Екологічна доцільність прибережних буферних зон підтверджується дослідженнями, які показують їхню роль у зменшенні надходження забруднювачів до водних об’єктів і підтриманні якості води [10].</w:t>
      </w:r>
    </w:p>
    <w:p>
      <w:pPr>
        <w:pStyle w:val="Normal"/>
        <w:spacing w:lineRule="auto" w:line="240" w:before="0" w:after="0"/>
        <w:ind w:firstLine="567"/>
        <w:jc w:val="both"/>
        <w:rPr/>
      </w:pPr>
      <w:r>
        <w:rPr>
          <w:rFonts w:cs="Times New Roman"/>
          <w:b w:val="false"/>
          <w:i w:val="false"/>
          <w:sz w:val="28"/>
        </w:rPr>
        <w:t>Однак для задач публічного управління важливою є не лише наявність матеріально-правової норми, а й спосіб її відтворюваного застосування. Якщо правило про подвоєння ширини ПЗС застосовується без уніфікованого цифрового протоколу, результат може залежати від якості обраних даних, програмного забезпечення, фахових знань виконавця, інформаційної асиметрії у пов′язаних управлінських процедурах. Це ускладнює публічну перевірку, підвищує юридичну невизначеність для власників і користувачів земельних ділянок, а також створює додаткові транзакційні витрати для органів влади, громадськості та інвесторів.</w:t>
      </w:r>
    </w:p>
    <w:p>
      <w:pPr>
        <w:pStyle w:val="Normal"/>
        <w:spacing w:lineRule="auto" w:line="240" w:before="0" w:after="0"/>
        <w:ind w:firstLine="567"/>
        <w:jc w:val="both"/>
        <w:rPr/>
      </w:pPr>
      <w:r>
        <w:rPr>
          <w:rFonts w:cs="Times New Roman"/>
          <w:b w:val="false"/>
          <w:i w:val="false"/>
          <w:sz w:val="28"/>
        </w:rPr>
        <w:t>Запропонований метод спрямований на формалізацію прикладної процедури визначення меж ПЗС у спосіб, який може бути відтворений, перевірений і обговорений різними суб’єктами публічного управління. Метод не розглядається як правовстановлюючий акт і не підміняє офіційні рішення органів влади або документацію із землеустрою та містобудування. Його роль полягає у створенні інформаційного продукту: стандартизованого розрахунку просторових параметрів ПЗС на основі відкритої або перевірюваної методики, доступної для повторного застосування [11].</w:t>
      </w:r>
    </w:p>
    <w:p>
      <w:pPr>
        <w:pStyle w:val="Normal"/>
        <w:spacing w:lineRule="auto" w:line="240" w:before="0" w:after="0"/>
        <w:ind w:firstLine="567"/>
        <w:jc w:val="both"/>
        <w:rPr/>
      </w:pPr>
      <w:r>
        <w:rPr>
          <w:rFonts w:cs="Times New Roman"/>
          <w:b w:val="false"/>
          <w:i w:val="false"/>
          <w:sz w:val="28"/>
        </w:rPr>
        <w:t>У параметричному вимірі метод фіксує сферу застосування, склад даних, просторовий масштаб, формат результату та межі його використання. У морфологічному вимірі він описує відносини між тематичними акторами: громадськістю, професійними спільнотами, власниками й користувачами земель, інвесторами, розробниками документації, держателями геопросторових даних і органами публічного управління. У функціональному вимірі метод задає цикл: підготовка даних, розрахунок, публікація результату, перевірка, збір зауважень, виправлення помилок і оновлення інструкцій. Такий поділ відповідає логіці параметричного, морфологічного та функціонального описів управлінської технології [1].</w:t>
      </w:r>
    </w:p>
    <w:p>
      <w:pPr>
        <w:pStyle w:val="Normal"/>
        <w:spacing w:lineRule="auto" w:line="240" w:before="0" w:after="0"/>
        <w:ind w:firstLine="567"/>
        <w:jc w:val="both"/>
        <w:rPr/>
      </w:pPr>
      <w:r>
        <w:rPr>
          <w:rFonts w:cs="Times New Roman"/>
          <w:b w:val="false"/>
          <w:i w:val="false"/>
          <w:sz w:val="28"/>
        </w:rPr>
        <w:t>Технічне ядро методу становить послідовність операцій геопросторового аналізу, яка використовує растрову алгебру для виявлення ділянок берегової зони з ухилами, що перевищують нормативний поріг. Метод передбачає використання цифрової моделі рельєфу, геопросторових даних водних об’єктів і полігону території аналізу. Після підготовки робочих растрів визначаються відстані до найближчих пікселів водного об’єкта, зіставляються висоти берегової зони та водного об’єкта, ідентифікуються ділянки перевищення нормативного ухилу, після чого формується геопросторовий контур ризикової зони.</w:t>
      </w:r>
    </w:p>
    <w:p>
      <w:pPr>
        <w:pStyle w:val="Normal"/>
        <w:spacing w:lineRule="auto" w:line="240" w:before="0" w:after="0"/>
        <w:ind w:firstLine="567"/>
        <w:jc w:val="both"/>
        <w:rPr/>
      </w:pPr>
      <w:r>
        <w:rPr>
          <w:rFonts w:cs="Times New Roman"/>
          <w:b w:val="false"/>
          <w:i w:val="false"/>
          <w:sz w:val="28"/>
        </w:rPr>
        <w:t>Практична реалізація методу можлива за допомогою відкритих геоінформаційних інструментів. Одним із таких інструментів є QGIS [12] – професійна геоінформаційна система з відкритим вихідним кодом, яка підтримує роботу з векторними та растровими даними, а її функціональність значною мірою спирається на бібліотеки GDAL/OGR [13] і суміжні інструменти просторового аналізу. Для частини процедур може застосовуватися функціонал GRASS GIS, зокрема алгоритми обчислення відстаней у растровому середовищі [14].</w:t>
      </w:r>
    </w:p>
    <w:p>
      <w:pPr>
        <w:pStyle w:val="Normal"/>
        <w:spacing w:lineRule="auto" w:line="240" w:before="0" w:after="0"/>
        <w:ind w:firstLine="567"/>
        <w:jc w:val="both"/>
        <w:rPr/>
      </w:pPr>
      <w:r>
        <w:rPr>
          <w:rFonts w:cs="Times New Roman"/>
          <w:b w:val="false"/>
          <w:i w:val="false"/>
          <w:sz w:val="28"/>
        </w:rPr>
        <w:t>Метод розміщено у відкритому GitHub-репозиторії  [11]. Репозиторій структурований за логікою вихідної методології: пояснювальна записка, опис методу, вхідні дані, підготовка робочих даних, аналіз ухилів берегової зони, джерела, зауваження, тестові набори даних і практичні інструкції. Така організація робить GitHub не лише місцем зберігання файлів, а середовищем поширення, верифікації та комунікації із суб’єктами публічного управління, професійними спільнотами, громадянським суспільством і потенційними користувачами результатів методу.</w:t>
      </w:r>
    </w:p>
    <w:p>
      <w:pPr>
        <w:pStyle w:val="Normal"/>
        <w:spacing w:lineRule="auto" w:line="240" w:before="0" w:after="0"/>
        <w:ind w:firstLine="567"/>
        <w:jc w:val="both"/>
        <w:rPr/>
      </w:pPr>
      <w:r>
        <w:rPr>
          <w:rFonts w:cs="Times New Roman"/>
          <w:b w:val="false"/>
          <w:i w:val="false"/>
          <w:sz w:val="28"/>
        </w:rPr>
        <w:t>У практичному вимірі GitHub може виконувати три функції. По-перше, він забезпечує доступ до стабільної версії методу, інструкцій і матеріалів для апробації. По-друге, він створює канал зворотного зв’язку: користувачі можуть подавати зауваження, повідомлення про помилки, пропозиції щодо параметрів і тестових кейсів. По-третє, він підтримує прозоре версіювання, що дозволяє відстежувати зміни процедури та обґрунтування цих змін. За цією логікою GitHub не замінює офіційного правового механізму, але може бути інструментом відкритої комунікації та підготовки якісніших процедур управління за інструкціями.</w:t>
      </w:r>
    </w:p>
    <w:p>
      <w:pPr>
        <w:pStyle w:val="Normal"/>
        <w:spacing w:lineRule="auto" w:line="240" w:before="0" w:after="0"/>
        <w:ind w:firstLine="567"/>
        <w:jc w:val="both"/>
        <w:rPr/>
      </w:pPr>
      <w:r>
        <w:rPr>
          <w:rFonts w:cs="Times New Roman"/>
          <w:b w:val="false"/>
          <w:i w:val="false"/>
          <w:sz w:val="28"/>
        </w:rPr>
        <w:t>Управлінська новизна рішення полягає в тому, що процедура обчислення подається не як закритий експертний висновок, а як відкритий протокол. Такий протокол може містити опис даних, алгоритмів, параметрів розрахунку, моделей QGIS, тестових наборів даних, очікуваного результату та вимог до метаданих. Результат методу має інформаційний статус: він не створює прав сам по собі, але дає учасникам управлінської мережі спільний, вимірюваний і відтворюваний опис ризику або можливого обмеження землекористування.</w:t>
      </w:r>
    </w:p>
    <w:p>
      <w:pPr>
        <w:pStyle w:val="Normal"/>
        <w:spacing w:lineRule="auto" w:line="240" w:before="0" w:after="0"/>
        <w:ind w:firstLine="567"/>
        <w:jc w:val="both"/>
        <w:rPr/>
      </w:pPr>
      <w:r>
        <w:rPr>
          <w:rFonts w:cs="Times New Roman"/>
          <w:b w:val="false"/>
          <w:i w:val="false"/>
          <w:sz w:val="28"/>
        </w:rPr>
        <w:t>Запропонований підхід узгоджується з рамкою цифрового урядування, де дані, цифрові сервіси, відкритість за замовчуванням і платформна логіка розглядаються як умови підвищення спроможності публічного сектору [4]. Він також співвідноситься з підходом до оформлення норм у вигляді коду, у межах якого правила можуть існувати не лише у вигляді тексту природною мовою, а й у формі машинозчитуваних або алгоритмічно відтворюваних моделей застосування [5], не замінюючи при цьому правових норми, а створюючи відкриту інфраструктуру для їх технічного виконання.</w:t>
      </w:r>
    </w:p>
    <w:p>
      <w:pPr>
        <w:pStyle w:val="Normal"/>
        <w:spacing w:lineRule="auto" w:line="240" w:before="0" w:after="0"/>
        <w:ind w:firstLine="567"/>
        <w:jc w:val="both"/>
        <w:rPr/>
      </w:pPr>
      <w:r>
        <w:rPr>
          <w:rFonts w:cs="Times New Roman"/>
          <w:b w:val="false"/>
          <w:i w:val="false"/>
          <w:sz w:val="28"/>
        </w:rPr>
        <w:t>Водночас метод має чіткі межі застосування. Якість результату залежить від якості вхідних даних. Тому результат має використовуватися як аналітичний і доказово-інформаційний матеріал, а не як автоматичне встановлення правового режиму земельної ділянки. Подальший розвиток методу доцільно спрямувати на тестування на різних типах рельєфу, зіставлення результатів із даними топографічних знімань, підготовку навчальних матеріалів і запровадження регулярного циклу оновлення за результатами публічних зауважень.</w:t>
      </w:r>
    </w:p>
    <w:p>
      <w:pPr>
        <w:pStyle w:val="Normal"/>
        <w:spacing w:lineRule="auto" w:line="240" w:before="0" w:after="0"/>
        <w:ind w:firstLine="567"/>
        <w:jc w:val="both"/>
        <w:rPr/>
      </w:pPr>
      <w:r>
        <w:rPr>
          <w:rFonts w:cs="Times New Roman"/>
          <w:b w:val="false"/>
          <w:i w:val="false"/>
          <w:sz w:val="28"/>
        </w:rPr>
        <w:t>Очікуваний результат застосування методу полягає у зменшенні невизначеності щодо практичного застосування вимоги про подвоєння ширини ПЗС, підвищенні прозорості взаємодії між суб’єктами публічного управління та створенні спільної інформаційної основи для контролю, планування і попередньої оцінки ризиків. Для територіальних громад це може сприяти кращому просторовому плануванню; для інвесторів - попередньому виявленню ризикових ділянок; для громадськості - публічній перевірці екологічно значущих обмежень; для органів влади - зменшенню транзакційних витрат на повторне експертне тлумачення однієї й тієї самої норми.</w:t>
      </w:r>
    </w:p>
    <w:p>
      <w:pPr>
        <w:pStyle w:val="Normal"/>
        <w:spacing w:lineRule="auto" w:line="240" w:before="160" w:after="80"/>
        <w:ind w:hanging="0"/>
        <w:rPr/>
      </w:pPr>
      <w:r>
        <w:rPr>
          <w:rFonts w:cs="Times New Roman"/>
          <w:b/>
          <w:i w:val="false"/>
          <w:sz w:val="28"/>
        </w:rPr>
        <w:t>Висновки</w:t>
      </w:r>
    </w:p>
    <w:p>
      <w:pPr>
        <w:pStyle w:val="Normal"/>
        <w:spacing w:lineRule="auto" w:line="240" w:before="0" w:after="0"/>
        <w:ind w:firstLine="567"/>
        <w:jc w:val="both"/>
        <w:rPr/>
      </w:pPr>
      <w:r>
        <w:rPr>
          <w:rFonts w:cs="Times New Roman"/>
          <w:b w:val="false"/>
          <w:i w:val="false"/>
          <w:sz w:val="28"/>
        </w:rPr>
        <w:t>Імперативні матеріально-правові приписи публічного законодавства не завжди потребують створення нових бюрократичних інституцій або закритих адміністративних процедур для практичного виконання. Якщо зміст норми може бути операціоналізований через вимірювані параметри, відкриті дані, цифрові інструменти та відтворювані протоколи, її виконання може підтримуватися інфраструктурою управління за інструкціями в мережевій моделі публічного управління.</w:t>
      </w:r>
    </w:p>
    <w:p>
      <w:pPr>
        <w:pStyle w:val="Normal"/>
        <w:spacing w:lineRule="auto" w:line="240" w:before="0" w:after="0"/>
        <w:ind w:firstLine="567"/>
        <w:jc w:val="both"/>
        <w:rPr/>
      </w:pPr>
      <w:r>
        <w:rPr>
          <w:rFonts w:cs="Times New Roman"/>
          <w:b w:val="false"/>
          <w:i w:val="false"/>
          <w:sz w:val="28"/>
        </w:rPr>
        <w:t>Метод визначення прибережно-захисних смуг за допомогою растрової алгебри є прикладом такого підходу. Він не підміняє законодавство і не створює самостійного правового режиму земельної ділянки, але формує стандартизований інформаційний продукт, придатний для перевірки, обговорення, повторного застосування та подальшого вдосконалення.</w:t>
      </w:r>
    </w:p>
    <w:p>
      <w:pPr>
        <w:pStyle w:val="Normal"/>
        <w:spacing w:lineRule="auto" w:line="240" w:before="0" w:after="0"/>
        <w:ind w:firstLine="567"/>
        <w:jc w:val="both"/>
        <w:rPr/>
      </w:pPr>
      <w:r>
        <w:rPr>
          <w:rFonts w:cs="Times New Roman"/>
          <w:b w:val="false"/>
          <w:i w:val="false"/>
          <w:sz w:val="28"/>
        </w:rPr>
        <w:t>Відкрите розміщення методу в GitHub-репозиторії дозволяє перетворити технічну процедуру на елемент публічної інфраструктури взаємодії: зі стабільною версією інструкцій, каналом зворотного зв’язку, можливістю баг-репортів і прозорим версіюванням. У такій моделі держава зберігає юридичну роль, однак частина операційного циклу підтримується мережею професійних, громадських і користувацьких акторів, що підвищує перевірюваність результату та процедурну легітимність управлінських рішень.</w:t>
      </w:r>
    </w:p>
    <w:p>
      <w:pPr>
        <w:pStyle w:val="Normal"/>
        <w:spacing w:lineRule="auto" w:line="240" w:before="160" w:after="80"/>
        <w:ind w:hanging="0"/>
        <w:rPr/>
      </w:pPr>
      <w:r>
        <w:rPr>
          <w:rFonts w:cs="Times New Roman"/>
          <w:b/>
          <w:i w:val="false"/>
          <w:sz w:val="28"/>
        </w:rPr>
        <w:t>References / Список використаних джерел</w:t>
      </w:r>
    </w:p>
    <w:p>
      <w:pPr>
        <w:pStyle w:val="Normal"/>
        <w:numPr>
          <w:ilvl w:val="0"/>
          <w:numId w:val="7"/>
        </w:numPr>
        <w:spacing w:lineRule="auto" w:line="240" w:before="0" w:after="0"/>
        <w:jc w:val="both"/>
        <w:rPr/>
      </w:pPr>
      <w:r>
        <w:rPr>
          <w:rFonts w:cs="Times New Roman"/>
          <w:b w:val="false"/>
          <w:i w:val="false"/>
          <w:sz w:val="28"/>
        </w:rPr>
        <w:t xml:space="preserve">Boiko, O., &amp; Obolenskyi, O. (2025). The method of morphological analysis of contemporary models of public governance. Scientific Notes, 40(3), 49–65. </w:t>
      </w:r>
      <w:hyperlink r:id="rId3">
        <w:r>
          <w:rPr>
            <w:rStyle w:val="Hyperlink"/>
            <w:rFonts w:cs="Times New Roman"/>
            <w:b w:val="false"/>
            <w:i w:val="false"/>
            <w:sz w:val="28"/>
          </w:rPr>
          <w:t>https://doi.org/10.33111/vz_kneu.40.25.03.05.032.038</w:t>
        </w:r>
      </w:hyperlink>
      <w:r>
        <w:rPr>
          <w:rFonts w:cs="Times New Roman"/>
          <w:b w:val="false"/>
          <w:i w:val="false"/>
          <w:sz w:val="28"/>
        </w:rPr>
        <w:t xml:space="preserve"> </w:t>
      </w:r>
    </w:p>
    <w:p>
      <w:pPr>
        <w:pStyle w:val="Normal"/>
        <w:numPr>
          <w:ilvl w:val="0"/>
          <w:numId w:val="7"/>
        </w:numPr>
        <w:spacing w:lineRule="auto" w:line="240" w:before="0" w:after="0"/>
        <w:jc w:val="both"/>
        <w:rPr/>
      </w:pPr>
      <w:r>
        <w:rPr>
          <w:rFonts w:cs="Times New Roman"/>
          <w:b w:val="false"/>
          <w:i w:val="false"/>
          <w:sz w:val="28"/>
        </w:rPr>
        <w:t xml:space="preserve">Christensen, Tom &amp; Lægreid, Per. (2006). Agencification and regulatory reforms. Autonomy and Regulation: Coping with Agencies in the Modern State. </w:t>
      </w:r>
      <w:r>
        <w:rPr>
          <w:rStyle w:val="Hyperlink"/>
          <w:rFonts w:cs="Times New Roman"/>
          <w:b w:val="false"/>
          <w:i w:val="false"/>
          <w:sz w:val="28"/>
        </w:rPr>
        <w:t>https://www.researchgate.net/publication/228964345_Agencification_and_regulatory_reforms</w:t>
      </w:r>
    </w:p>
    <w:p>
      <w:pPr>
        <w:pStyle w:val="Normal"/>
        <w:numPr>
          <w:ilvl w:val="0"/>
          <w:numId w:val="7"/>
        </w:numPr>
        <w:spacing w:lineRule="auto" w:line="240" w:before="0" w:after="0"/>
        <w:jc w:val="both"/>
        <w:rPr/>
      </w:pPr>
      <w:r>
        <w:rPr>
          <w:rFonts w:cs="Times New Roman"/>
          <w:b w:val="false"/>
          <w:i w:val="false"/>
          <w:sz w:val="28"/>
        </w:rPr>
        <w:t>Mahoney, James &amp; Thelen, Kathleen. (2010). A Theory of Gradual Institutional Change. Explaining Institutional Change, 1-37 (2010). 10.1017/CBO9780511806414.003.</w:t>
      </w:r>
    </w:p>
    <w:p>
      <w:pPr>
        <w:pStyle w:val="Normal"/>
        <w:numPr>
          <w:ilvl w:val="0"/>
          <w:numId w:val="7"/>
        </w:numPr>
        <w:spacing w:lineRule="auto" w:line="240" w:before="0" w:after="0"/>
        <w:jc w:val="both"/>
        <w:rPr/>
      </w:pPr>
      <w:r>
        <w:rPr>
          <w:rFonts w:cs="Times New Roman"/>
          <w:b w:val="false"/>
          <w:i w:val="false"/>
          <w:sz w:val="28"/>
        </w:rPr>
        <w:t xml:space="preserve">OECD. (2020). The OECD Digital Government Policy Framework: Six dimensions of a Digital Government. OECD Public Governance Policy Papers, No. 2. OECD Publishing. </w:t>
      </w:r>
      <w:hyperlink r:id="rId4">
        <w:r>
          <w:rPr>
            <w:rStyle w:val="Hyperlink"/>
            <w:rFonts w:cs="Times New Roman"/>
            <w:b w:val="false"/>
            <w:i w:val="false"/>
            <w:sz w:val="28"/>
          </w:rPr>
          <w:t>https://doi.org/10.1787/f64fed2a-en</w:t>
        </w:r>
      </w:hyperlink>
      <w:r>
        <w:rPr>
          <w:rFonts w:cs="Times New Roman"/>
          <w:b w:val="false"/>
          <w:i w:val="false"/>
          <w:sz w:val="28"/>
        </w:rPr>
        <w:t xml:space="preserve"> </w:t>
      </w:r>
    </w:p>
    <w:p>
      <w:pPr>
        <w:pStyle w:val="Normal"/>
        <w:numPr>
          <w:ilvl w:val="0"/>
          <w:numId w:val="7"/>
        </w:numPr>
        <w:spacing w:lineRule="auto" w:line="240" w:before="0" w:after="0"/>
        <w:jc w:val="both"/>
        <w:rPr/>
      </w:pPr>
      <w:r>
        <w:rPr>
          <w:rFonts w:cs="Times New Roman"/>
          <w:b w:val="false"/>
          <w:i w:val="false"/>
          <w:sz w:val="28"/>
        </w:rPr>
        <w:t xml:space="preserve">Ansell, C., &amp; Gash, A. (2008). Collaborative governance in theory and practice. Journal of Public Administration Research and Theory, 18(4), 543–571. </w:t>
      </w:r>
      <w:hyperlink r:id="rId5">
        <w:r>
          <w:rPr>
            <w:rStyle w:val="Hyperlink"/>
            <w:rFonts w:cs="Times New Roman"/>
            <w:b w:val="false"/>
            <w:i w:val="false"/>
            <w:sz w:val="28"/>
          </w:rPr>
          <w:t>https://doi.org/10.1093/jopart/mum032</w:t>
        </w:r>
      </w:hyperlink>
      <w:r>
        <w:rPr>
          <w:rFonts w:cs="Times New Roman"/>
          <w:b w:val="false"/>
          <w:i w:val="false"/>
          <w:sz w:val="28"/>
        </w:rPr>
        <w:t xml:space="preserve"> </w:t>
      </w:r>
    </w:p>
    <w:p>
      <w:pPr>
        <w:pStyle w:val="Normal"/>
        <w:numPr>
          <w:ilvl w:val="0"/>
          <w:numId w:val="7"/>
        </w:numPr>
        <w:spacing w:lineRule="auto" w:line="240" w:before="0" w:after="0"/>
        <w:jc w:val="both"/>
        <w:rPr/>
      </w:pPr>
      <w:r>
        <w:rPr>
          <w:rFonts w:cs="Times New Roman"/>
          <w:b w:val="false"/>
          <w:i w:val="false"/>
          <w:sz w:val="28"/>
        </w:rPr>
        <w:t xml:space="preserve">Torfing, J., Sørensen, E., &amp; Røiseland, A. (2019). Transforming the public sector into an arena for co-creation: Barriers, drivers, benefits, and ways forward. Administration &amp; Society, 51(5), 795–825. </w:t>
      </w:r>
      <w:r>
        <w:rPr>
          <w:rStyle w:val="Hyperlink"/>
          <w:rFonts w:cs="Times New Roman"/>
          <w:b w:val="false"/>
          <w:i w:val="false"/>
          <w:sz w:val="28"/>
        </w:rPr>
        <w:t>https://doi.org/10.1177/0095399716680057</w:t>
      </w:r>
    </w:p>
    <w:p>
      <w:pPr>
        <w:pStyle w:val="Normal"/>
        <w:numPr>
          <w:ilvl w:val="0"/>
          <w:numId w:val="7"/>
        </w:numPr>
        <w:spacing w:lineRule="auto" w:line="240" w:before="0" w:after="0"/>
        <w:jc w:val="both"/>
        <w:rPr/>
      </w:pPr>
      <w:r>
        <w:rPr>
          <w:rFonts w:cs="Times New Roman"/>
          <w:b w:val="false"/>
          <w:i w:val="false"/>
          <w:sz w:val="28"/>
        </w:rPr>
        <w:t xml:space="preserve">Mohun, J., &amp; Roberts, A. (2020). Cracking the Code: Rulemaking for Humans and Machines. OECD Working Papers on Public Governance, No. 42. OECD Publishing. </w:t>
      </w:r>
      <w:hyperlink r:id="rId6">
        <w:r>
          <w:rPr>
            <w:rStyle w:val="Hyperlink"/>
            <w:rFonts w:cs="Times New Roman"/>
            <w:b w:val="false"/>
            <w:i w:val="false"/>
            <w:sz w:val="28"/>
          </w:rPr>
          <w:t>https://doi.org/10.1787/3afe6ba5-en</w:t>
        </w:r>
      </w:hyperlink>
      <w:r>
        <w:rPr>
          <w:rFonts w:cs="Times New Roman"/>
          <w:b w:val="false"/>
          <w:i w:val="false"/>
          <w:sz w:val="28"/>
        </w:rPr>
        <w:t xml:space="preserve"> </w:t>
      </w:r>
    </w:p>
    <w:p>
      <w:pPr>
        <w:pStyle w:val="Normal"/>
        <w:numPr>
          <w:ilvl w:val="0"/>
          <w:numId w:val="7"/>
        </w:numPr>
        <w:spacing w:lineRule="auto" w:line="240" w:before="0" w:after="0"/>
        <w:jc w:val="both"/>
        <w:rPr/>
      </w:pPr>
      <w:r>
        <w:rPr>
          <w:rFonts w:cs="Times New Roman"/>
          <w:b w:val="false"/>
          <w:i w:val="false"/>
          <w:sz w:val="28"/>
        </w:rPr>
        <w:t xml:space="preserve">Водний кодекс України. (1995). Закон України від 06.06.1995 № 213/95-ВР. Верховна Рада України. </w:t>
      </w:r>
      <w:r>
        <w:rPr>
          <w:rStyle w:val="Hyperlink"/>
          <w:rFonts w:cs="Times New Roman"/>
          <w:b w:val="false"/>
          <w:i w:val="false"/>
          <w:sz w:val="28"/>
        </w:rPr>
        <w:t>https://zakon.rada.gov.ua/go/213/95-%D0%B2%D1%80</w:t>
      </w:r>
    </w:p>
    <w:p>
      <w:pPr>
        <w:pStyle w:val="Normal"/>
        <w:numPr>
          <w:ilvl w:val="0"/>
          <w:numId w:val="7"/>
        </w:numPr>
        <w:spacing w:lineRule="auto" w:line="240" w:before="0" w:after="0"/>
        <w:jc w:val="both"/>
        <w:rPr/>
      </w:pPr>
      <w:r>
        <w:rPr>
          <w:rFonts w:cs="Times New Roman"/>
          <w:b w:val="false"/>
          <w:i w:val="false"/>
          <w:sz w:val="28"/>
        </w:rPr>
        <w:t xml:space="preserve">Земельний кодекс України. (2001). Закон України від 25.10.2001 № 2768-III. Верховна Рада України. </w:t>
      </w:r>
      <w:r>
        <w:rPr>
          <w:rStyle w:val="Hyperlink"/>
          <w:rFonts w:cs="Times New Roman"/>
          <w:b w:val="false"/>
          <w:i w:val="false"/>
          <w:sz w:val="28"/>
        </w:rPr>
        <w:t>https://zakon.rada.gov.ua/go/2768-14</w:t>
      </w:r>
    </w:p>
    <w:p>
      <w:pPr>
        <w:pStyle w:val="Normal"/>
        <w:numPr>
          <w:ilvl w:val="0"/>
          <w:numId w:val="7"/>
        </w:numPr>
        <w:spacing w:lineRule="auto" w:line="240" w:before="0" w:after="0"/>
        <w:jc w:val="both"/>
        <w:rPr/>
      </w:pPr>
      <w:r>
        <w:rPr>
          <w:rFonts w:cs="Times New Roman"/>
          <w:b w:val="false"/>
          <w:i w:val="false"/>
          <w:sz w:val="28"/>
        </w:rPr>
        <w:t>Mayer, P. M., Reynolds, S. K., McCutchen, M. D., &amp; Canfield, T. J. (2007). Meta-analysis of nitrogen removal in riparian buffers. Journal of Environmental Quality, 36(4), 1172–1180. https://doi.org/10.2134/jeq2006.0462</w:t>
      </w:r>
    </w:p>
    <w:p>
      <w:pPr>
        <w:pStyle w:val="Normal"/>
        <w:numPr>
          <w:ilvl w:val="0"/>
          <w:numId w:val="7"/>
        </w:numPr>
        <w:spacing w:lineRule="auto" w:line="240" w:before="0" w:after="0"/>
        <w:jc w:val="both"/>
        <w:rPr/>
      </w:pPr>
      <w:r>
        <w:rPr>
          <w:rFonts w:cs="Times New Roman"/>
          <w:b w:val="false"/>
          <w:i w:val="false"/>
          <w:sz w:val="28"/>
        </w:rPr>
        <w:t xml:space="preserve"> </w:t>
      </w:r>
      <w:r>
        <w:rPr>
          <w:rFonts w:cs="Times New Roman"/>
          <w:b w:val="false"/>
          <w:i w:val="false"/>
          <w:sz w:val="28"/>
        </w:rPr>
        <w:t xml:space="preserve">Boiko, O., &amp; Maksymova, Y. (2026). pzs_method. [GitHub repository]. GitHub. </w:t>
      </w:r>
      <w:hyperlink r:id="rId7">
        <w:r>
          <w:rPr>
            <w:rStyle w:val="Hyperlink"/>
            <w:rFonts w:cs="Times New Roman"/>
            <w:b w:val="false"/>
            <w:i w:val="false"/>
            <w:sz w:val="28"/>
          </w:rPr>
          <w:t>https://github.com/oleksaboiko/pzs_method</w:t>
        </w:r>
      </w:hyperlink>
      <w:r>
        <w:rPr>
          <w:rFonts w:cs="Times New Roman"/>
          <w:b w:val="false"/>
          <w:i w:val="false"/>
          <w:sz w:val="28"/>
        </w:rPr>
        <w:t xml:space="preserve"> </w:t>
      </w:r>
    </w:p>
    <w:p>
      <w:pPr>
        <w:pStyle w:val="Normal"/>
        <w:numPr>
          <w:ilvl w:val="0"/>
          <w:numId w:val="7"/>
        </w:numPr>
        <w:spacing w:lineRule="auto" w:line="240" w:before="0" w:after="0"/>
        <w:jc w:val="both"/>
        <w:rPr/>
      </w:pPr>
      <w:r>
        <w:rPr>
          <w:rFonts w:cs="Times New Roman"/>
          <w:b w:val="false"/>
          <w:i w:val="false"/>
          <w:sz w:val="28"/>
        </w:rPr>
        <w:t xml:space="preserve"> </w:t>
      </w:r>
      <w:r>
        <w:rPr>
          <w:rFonts w:cs="Times New Roman"/>
          <w:b w:val="false"/>
          <w:i w:val="false"/>
          <w:sz w:val="28"/>
        </w:rPr>
        <w:t xml:space="preserve">QGIS.org. (2026). QGIS Geographic Information System. QGIS Association. </w:t>
      </w:r>
      <w:hyperlink r:id="rId8">
        <w:r>
          <w:rPr>
            <w:rStyle w:val="Hyperlink"/>
            <w:rFonts w:cs="Times New Roman"/>
            <w:b w:val="false"/>
            <w:i w:val="false"/>
            <w:sz w:val="28"/>
          </w:rPr>
          <w:t>https://qgis.org</w:t>
        </w:r>
      </w:hyperlink>
      <w:r>
        <w:rPr>
          <w:rFonts w:cs="Times New Roman"/>
          <w:b w:val="false"/>
          <w:i w:val="false"/>
          <w:sz w:val="28"/>
        </w:rPr>
        <w:t xml:space="preserve"> </w:t>
      </w:r>
    </w:p>
    <w:p>
      <w:pPr>
        <w:pStyle w:val="Normal"/>
        <w:numPr>
          <w:ilvl w:val="0"/>
          <w:numId w:val="7"/>
        </w:numPr>
        <w:spacing w:lineRule="auto" w:line="240" w:before="0" w:after="0"/>
        <w:jc w:val="both"/>
        <w:rPr/>
      </w:pPr>
      <w:r>
        <w:rPr>
          <w:rFonts w:cs="Times New Roman"/>
          <w:b w:val="false"/>
          <w:i w:val="false"/>
          <w:sz w:val="28"/>
        </w:rPr>
        <w:t xml:space="preserve">GDAL/OGR contributors. (2026). GDAL documentation. Open Source Geospatial Foundation. </w:t>
      </w:r>
      <w:hyperlink r:id="rId9">
        <w:r>
          <w:rPr>
            <w:rStyle w:val="Hyperlink"/>
            <w:rFonts w:cs="Times New Roman"/>
            <w:b w:val="false"/>
            <w:i w:val="false"/>
            <w:sz w:val="28"/>
          </w:rPr>
          <w:t>https://gdal.org/</w:t>
        </w:r>
      </w:hyperlink>
      <w:r>
        <w:rPr>
          <w:rFonts w:cs="Times New Roman"/>
          <w:b w:val="false"/>
          <w:i w:val="false"/>
          <w:sz w:val="28"/>
        </w:rPr>
        <w:t xml:space="preserve"> </w:t>
      </w:r>
    </w:p>
    <w:p>
      <w:pPr>
        <w:pStyle w:val="Normal"/>
        <w:numPr>
          <w:ilvl w:val="0"/>
          <w:numId w:val="7"/>
        </w:numPr>
        <w:spacing w:lineRule="auto" w:line="240" w:before="0" w:after="0"/>
        <w:jc w:val="both"/>
        <w:rPr/>
      </w:pPr>
      <w:r>
        <w:rPr>
          <w:rFonts w:cs="Times New Roman"/>
          <w:b w:val="false"/>
          <w:i w:val="false"/>
          <w:sz w:val="28"/>
        </w:rPr>
        <w:t xml:space="preserve">GRASS Development Team. (2026). r.grow.distance - GRASS GIS manual. GRASS GIS. </w:t>
      </w:r>
      <w:hyperlink r:id="rId10">
        <w:r>
          <w:rPr>
            <w:rStyle w:val="Hyperlink"/>
            <w:rFonts w:cs="Times New Roman"/>
            <w:b w:val="false"/>
            <w:i w:val="false"/>
            <w:sz w:val="28"/>
          </w:rPr>
          <w:t>https://grass.osgeo.org/grass-stable/manuals/r.grow.distance.html</w:t>
        </w:r>
      </w:hyperlink>
      <w:r>
        <w:rPr>
          <w:rFonts w:cs="Times New Roman"/>
          <w:b w:val="false"/>
          <w:i w:val="false"/>
          <w:sz w:val="28"/>
        </w:rPr>
        <w:t xml:space="preserve"> </w:t>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default"/>
  </w:font>
  <w:font w:name="Times New Roman">
    <w:charset w:val="01"/>
    <w:family w:val="roman"/>
    <w:pitch w:val="default"/>
  </w:font>
  <w:font w:name="Calibri">
    <w:charset w:val="01"/>
    <w:family w:val="roman"/>
    <w:pitch w:val="default"/>
  </w:font>
  <w:font w:name="Courier">
    <w:altName w:val="Courier New"/>
    <w:charset w:val="01"/>
    <w:family w:val="roman"/>
    <w:pitch w:val="default"/>
  </w:font>
  <w:font w:name="Liberation Sans">
    <w:altName w:val="Arial"/>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0"/>
      <w:ind w:firstLine="567"/>
      <w:jc w:val="left"/>
    </w:pPr>
    <w:rPr>
      <w:rFonts w:ascii="Times New Roman" w:hAnsi="Times New Roman" w:eastAsia="" w:cs="Times New Roman" w:eastAsiaTheme="minorEastAsia"/>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20" w:after="120"/>
      <w:ind w:hanging="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120" w:after="120"/>
      <w:ind w:hanging="0"/>
      <w:outlineLvl w:val="1"/>
    </w:pPr>
    <w:rPr>
      <w:rFonts w:ascii="Calibri" w:hAnsi="Calibri" w:eastAsia="" w:cs="" w:asciiTheme="majorHAnsi" w:cstheme="majorBidi" w:eastAsiaTheme="majorEastAsia" w:hAnsiTheme="majorHAnsi"/>
      <w:b/>
      <w:bCs/>
      <w:color w:themeColor="accent1" w:val="4F81BD"/>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tyle5">
    <w:name w:val="Символ нумерації"/>
    <w:qFormat/>
    <w:rPr/>
  </w:style>
  <w:style w:type="character" w:styleId="Hyperlink">
    <w:name w:val="Hyperlink"/>
    <w:rPr>
      <w:color w:val="000080"/>
      <w:u w:val="single"/>
    </w:rPr>
  </w:style>
  <w:style w:type="character" w:styleId="FollowedHyperlink">
    <w:name w:val="FollowedHyperlink"/>
    <w:rPr>
      <w:color w:val="800000"/>
      <w:u w:val="single"/>
    </w:rPr>
  </w:style>
  <w:style w:type="paragraph" w:styleId="Style6">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7">
    <w:name w:val="Покажчик"/>
    <w:basedOn w:val="Normal"/>
    <w:qFormat/>
    <w:pPr>
      <w:suppressLineNumbers/>
    </w:pPr>
    <w:rPr>
      <w:rFonts w:ascii="Times New Roman" w:hAnsi="Times New Roman"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120" w:after="120"/>
      <w:ind w:hanging="0"/>
      <w:contextualSpacing/>
    </w:pPr>
    <w:rPr>
      <w:rFonts w:ascii="Calibri" w:hAnsi="Calibri" w:eastAsia="" w:cs="" w:asciiTheme="majorHAnsi" w:cstheme="majorBidi" w:eastAsiaTheme="majorEastAsia" w:hAnsiTheme="majorHAnsi"/>
      <w:b/>
      <w:color w:themeColor="text2" w:themeShade="bf" w:val="17365D"/>
      <w:spacing w:val="5"/>
      <w:kern w:val="2"/>
      <w:sz w:val="2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Style6"/>
    <w:pPr/>
    <w:rPr/>
  </w:style>
  <w:style w:type="paragraph" w:styleId="TOCHeading">
    <w:name w:val="TOC Heading"/>
    <w:basedOn w:val="Heading1"/>
    <w:next w:val="Normal"/>
    <w:uiPriority w:val="39"/>
    <w:semiHidden/>
    <w:unhideWhenUsed/>
    <w:qFormat/>
    <w:rsid w:val="00fc693f"/>
    <w:pPr>
      <w:outlineLvl w:val="9"/>
    </w:pPr>
    <w:rPr/>
  </w:style>
  <w:style w:type="numbering" w:styleId="Style8" w:default="1">
    <w:name w:val="Без маркерів"/>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rcid.org/0000-0003-3676-6043" TargetMode="External"/><Relationship Id="rId3" Type="http://schemas.openxmlformats.org/officeDocument/2006/relationships/hyperlink" Target="https://doi.org/10.33111/vz_kneu.40.25.03.05.032.038" TargetMode="External"/><Relationship Id="rId4" Type="http://schemas.openxmlformats.org/officeDocument/2006/relationships/hyperlink" Target="https://doi.org/10.1787/f64fed2a-en" TargetMode="External"/><Relationship Id="rId5" Type="http://schemas.openxmlformats.org/officeDocument/2006/relationships/hyperlink" Target="https://doi.org/10.1093/jopart/mum032" TargetMode="External"/><Relationship Id="rId6" Type="http://schemas.openxmlformats.org/officeDocument/2006/relationships/hyperlink" Target="https://doi.org/10.1787/3afe6ba5-en" TargetMode="External"/><Relationship Id="rId7" Type="http://schemas.openxmlformats.org/officeDocument/2006/relationships/hyperlink" Target="https://github.com/oleksaboiko/pzs_method" TargetMode="External"/><Relationship Id="rId8" Type="http://schemas.openxmlformats.org/officeDocument/2006/relationships/hyperlink" Target="https://qgis.org/" TargetMode="External"/><Relationship Id="rId9" Type="http://schemas.openxmlformats.org/officeDocument/2006/relationships/hyperlink" Target="https://gdal.org/" TargetMode="External"/><Relationship Id="rId10" Type="http://schemas.openxmlformats.org/officeDocument/2006/relationships/hyperlink" Target="https://grass.osgeo.org/grass-stable/manuals/r.grow.distance.html"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Application>LibreOffice/24.2.7.2$Linux_X86_64 LibreOffice_project/420$Build-2</Application>
  <AppVersion>15.0000</AppVersion>
  <Pages>6</Pages>
  <Words>1910</Words>
  <Characters>14423</Characters>
  <CharactersWithSpaces>16276</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uk-UA</dc:language>
  <cp:lastModifiedBy>Oleksii Boiko</cp:lastModifiedBy>
  <dcterms:modified xsi:type="dcterms:W3CDTF">2026-06-07T23:13:42Z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