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right"/>
        <w:rPr>
          <w:sz w:val="28"/>
          <w:szCs w:val="28"/>
        </w:rPr>
      </w:pPr>
      <w:r>
        <w:rPr>
          <w:sz w:val="28"/>
          <w:szCs w:val="28"/>
        </w:rPr>
        <w:t>УДК 001.89</w:t>
      </w:r>
    </w:p>
    <w:p>
      <w:pPr>
        <w:pStyle w:val="diserthesis"/>
        <w:bidi w:val="0"/>
        <w:spacing w:lineRule="auto" w:line="360" w:before="0" w:after="140"/>
        <w:ind w:hanging="0" w:left="4706" w:right="0"/>
        <w:jc w:val="both"/>
        <w:rPr/>
      </w:pPr>
      <w:bookmarkStart w:id="0" w:name="docs-internal-guid-c614ae78-7fff-05f7-f3"/>
      <w:bookmarkEnd w:id="0"/>
      <w:r>
        <w:rPr>
          <w:rFonts w:ascii="Times New Roman;serif" w:hAnsi="Times New Roman;serif"/>
          <w:b w:val="false"/>
          <w:i w:val="false"/>
          <w:caps w:val="false"/>
          <w:smallCaps w:val="false"/>
          <w:strike w:val="false"/>
          <w:dstrike w:val="false"/>
          <w:color w:val="000000"/>
          <w:sz w:val="30"/>
          <w:u w:val="none"/>
          <w:effect w:val="none"/>
          <w:shd w:fill="auto" w:val="clear"/>
        </w:rPr>
        <w:t>Олексій БОЙКО, аспі</w:t>
      </w:r>
      <w:r>
        <w:rPr/>
        <w:t>рант кафедри регіоналістики і туризму Київського національного економічного університету ім. Вадима Гетьмана.</w:t>
      </w:r>
    </w:p>
    <w:p>
      <w:pPr>
        <w:pStyle w:val="diserthesis"/>
        <w:bidi w:val="0"/>
        <w:jc w:val="right"/>
        <w:rPr/>
      </w:pPr>
      <w:hyperlink r:id="rId2">
        <w:r>
          <w:rPr>
            <w:rStyle w:val="Hyperlink"/>
          </w:rPr>
          <w:t>https://orcid.org/0000-0003-3676-6043</w:t>
        </w:r>
      </w:hyperlink>
      <w:r>
        <w:rPr/>
        <w:t xml:space="preserve"> </w:t>
      </w:r>
    </w:p>
    <w:p>
      <w:pPr>
        <w:pStyle w:val="diserthesis"/>
        <w:bidi w:val="0"/>
        <w:spacing w:lineRule="auto" w:line="360" w:before="0" w:after="140"/>
        <w:ind w:hanging="0" w:left="4706" w:right="0"/>
        <w:jc w:val="both"/>
        <w:rPr/>
      </w:pPr>
      <w:r>
        <w:rPr/>
        <w:t>Науковий керівник: Богдан ДАНИЛИШИН, д.е.н., професор кафедри регіоналістики і туризму Київського національного економічного університету ім. Вадим</w:t>
      </w:r>
      <w:r>
        <w:rPr>
          <w:rFonts w:ascii="Times New Roman;serif" w:hAnsi="Times New Roman;serif"/>
          <w:b w:val="false"/>
          <w:i w:val="false"/>
          <w:caps w:val="false"/>
          <w:smallCaps w:val="false"/>
          <w:strike w:val="false"/>
          <w:dstrike w:val="false"/>
          <w:color w:val="000000"/>
          <w:sz w:val="30"/>
          <w:u w:val="none"/>
          <w:effect w:val="none"/>
          <w:shd w:fill="auto" w:val="clear"/>
        </w:rPr>
        <w:t>а Гетьмана.</w:t>
      </w:r>
    </w:p>
    <w:p>
      <w:pPr>
        <w:pStyle w:val="diserthesis"/>
        <w:widowControl/>
        <w:suppressAutoHyphens w:val="true"/>
        <w:overflowPunct w:val="true"/>
        <w:bidi w:val="0"/>
        <w:jc w:val="right"/>
        <w:rPr/>
      </w:pPr>
      <w:hyperlink r:id="rId3">
        <w:r>
          <w:rPr>
            <w:rStyle w:val="Hyperlink"/>
            <w:rFonts w:eastAsia="Noto Serif CJK SC" w:cs="Noto Sans Devanagari"/>
            <w:color w:val="auto"/>
            <w:kern w:val="2"/>
            <w:lang w:val="uk-UA" w:eastAsia="zh-CN" w:bidi="hi-IN"/>
          </w:rPr>
          <w:t>https://orcid.org/0000-0002-4058-1191</w:t>
        </w:r>
      </w:hyperlink>
      <w:r>
        <w:rPr>
          <w:rStyle w:val="Hyperlink"/>
          <w:rFonts w:eastAsia="Noto Serif CJK SC" w:cs="Noto Sans Devanagari"/>
          <w:color w:val="auto"/>
          <w:kern w:val="2"/>
          <w:lang w:val="uk-UA" w:eastAsia="zh-CN" w:bidi="hi-IN"/>
        </w:rPr>
        <w:t xml:space="preserve"> </w:t>
      </w:r>
    </w:p>
    <w:p>
      <w:pPr>
        <w:pStyle w:val="diserthesis"/>
        <w:bidi w:val="0"/>
        <w:ind w:hanging="0" w:left="0" w:right="0"/>
        <w:jc w:val="center"/>
        <w:rPr/>
      </w:pPr>
      <w:r>
        <w:rPr/>
        <w:br/>
        <w:t>ПОБУДОВА ІНФРАСТРУКТУРИ УПРАВЛІННЯ ЗА ІНСТРУКЦІЯМИ В МЕРЕЖЕВІЙ МОДЕЛІ ПУБЛІЧНОГО УПРАВЛІННЯ</w:t>
      </w:r>
    </w:p>
    <w:p>
      <w:pPr>
        <w:pStyle w:val="diserthesis"/>
        <w:bidi w:val="0"/>
        <w:ind w:hanging="0" w:left="0" w:right="0"/>
        <w:jc w:val="both"/>
        <w:rPr>
          <w:i/>
          <w:i/>
          <w:iCs/>
          <w:color w:val="000000"/>
          <w:sz w:val="24"/>
          <w:szCs w:val="24"/>
        </w:rPr>
      </w:pPr>
      <w:r>
        <w:rPr>
          <w:b/>
          <w:bCs/>
          <w:i/>
          <w:iCs/>
          <w:color w:val="000000"/>
          <w:sz w:val="24"/>
          <w:szCs w:val="24"/>
        </w:rPr>
        <w:t>Анотація</w:t>
      </w:r>
      <w:r>
        <w:rPr>
          <w:i/>
          <w:iCs/>
          <w:color w:val="000000"/>
          <w:sz w:val="24"/>
          <w:szCs w:val="24"/>
        </w:rPr>
        <w:t>:</w:t>
      </w:r>
    </w:p>
    <w:p>
      <w:pPr>
        <w:pStyle w:val="diserthesis"/>
        <w:bidi w:val="0"/>
        <w:ind w:hanging="0" w:left="0" w:right="0"/>
        <w:jc w:val="both"/>
        <w:rPr>
          <w:i/>
          <w:i/>
          <w:iCs/>
          <w:color w:val="000000"/>
          <w:sz w:val="24"/>
          <w:szCs w:val="24"/>
        </w:rPr>
      </w:pPr>
      <w:r>
        <w:rPr>
          <w:i/>
          <w:iCs/>
          <w:color w:val="000000"/>
          <w:sz w:val="24"/>
          <w:szCs w:val="24"/>
        </w:rPr>
        <w:t>Саття пропонує підхід до побудови інфраструктури процесів управління за інструкціями в мережевій моделі публічного управління, та пропонує приклад побудови такої інфраструктури.</w:t>
      </w:r>
    </w:p>
    <w:p>
      <w:pPr>
        <w:pStyle w:val="diserthesis"/>
        <w:bidi w:val="0"/>
        <w:ind w:hanging="0" w:left="0" w:right="0"/>
        <w:jc w:val="both"/>
        <w:rPr>
          <w:i/>
          <w:i/>
          <w:iCs/>
          <w:sz w:val="24"/>
          <w:szCs w:val="24"/>
        </w:rPr>
      </w:pPr>
      <w:r>
        <w:rPr>
          <w:b/>
          <w:bCs/>
          <w:i/>
          <w:iCs/>
          <w:sz w:val="24"/>
          <w:szCs w:val="24"/>
        </w:rPr>
        <w:t>Ключові слова:</w:t>
      </w:r>
      <w:r>
        <w:rPr>
          <w:b w:val="false"/>
          <w:bCs w:val="false"/>
          <w:i/>
          <w:iCs/>
          <w:sz w:val="24"/>
          <w:szCs w:val="24"/>
        </w:rPr>
        <w:t xml:space="preserve">  Вдповідно до мого дисеру.</w:t>
      </w:r>
    </w:p>
    <w:p>
      <w:pPr>
        <w:pStyle w:val="diserthesis"/>
        <w:widowControl/>
        <w:suppressAutoHyphens w:val="true"/>
        <w:overflowPunct w:val="true"/>
        <w:bidi w:val="0"/>
        <w:ind w:hanging="0" w:left="0" w:right="0"/>
        <w:rPr/>
      </w:pPr>
      <w:r>
        <w:rPr/>
        <w:tab/>
      </w:r>
      <w:r>
        <w:rPr>
          <w:b/>
          <w:bCs/>
        </w:rPr>
        <w:t>Проблематика та о</w:t>
      </w:r>
      <w:r>
        <w:rPr>
          <w:rFonts w:eastAsia="Noto Serif CJK SC" w:cs="Noto Sans Devanagari"/>
          <w:b/>
          <w:bCs/>
          <w:color w:val="auto"/>
          <w:kern w:val="2"/>
          <w:lang w:val="uk-UA" w:eastAsia="zh-CN" w:bidi="hi-IN"/>
        </w:rPr>
        <w:t>гляд наявних досліджень</w:t>
      </w:r>
      <w:r>
        <w:rPr>
          <w:b/>
          <w:bCs/>
        </w:rPr>
        <w:t>:</w:t>
      </w:r>
    </w:p>
    <w:p>
      <w:pPr>
        <w:pStyle w:val="diserthesis"/>
        <w:widowControl/>
        <w:suppressAutoHyphens w:val="true"/>
        <w:overflowPunct w:val="true"/>
        <w:bidi w:val="0"/>
        <w:ind w:hanging="0" w:left="0" w:right="0"/>
        <w:rPr/>
      </w:pPr>
      <w:r>
        <w:rPr/>
        <w:tab/>
      </w:r>
      <w:r>
        <w:rPr>
          <w:rFonts w:eastAsia="Noto Serif CJK SC" w:cs="Noto Sans Devanagari"/>
          <w:b w:val="false"/>
          <w:bCs w:val="false"/>
          <w:color w:val="auto"/>
          <w:kern w:val="2"/>
          <w:lang w:val="uk-UA" w:eastAsia="zh-CN" w:bidi="hi-IN"/>
        </w:rPr>
        <w:t>Динамічні зміни в сучасному соціально-економічному середовищі вимагають відповідної швидкості в адаптації процесів публічного управління до таких змін. У цьому контексті особливого значення набуває розроблення прикладних, формалізованих і відтворюваних інструментів, здатних поєднати концептуальні уявлення про публічне управління з конкретними процедурами їх реалізації [Boiko &amp; Obolenskyi, 2025].</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Провідні концепції публічного управління — традиційне публічне адміністрування (Old Public Administration), новий публічний менеджмент (New Public Management), нове публічне врядування (New Public Governance), належне врядування (Good Governance) та цифрове урядування (Digital Government) — по-різному визначають організацію управлінського циклу, однак у всіх випадках його реалізація пов’язана з наявністю інституційно оформлених правил, процедур, організаційних структур і механізмів координації між суб’єктами управління [OECD, 2020].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Інституційне оформлення та оновлення таких механізмів потребують часу, організаційних зусиль і відповідних ресурсів. За умов високої динаміки змін це може знижувати швидкість реакції системи публічного управління на нові ризики та ускладнювати своєчасне коригування управлінських процедур. Особливо це стосується рівня управління за інструкціями, де визначальне значення мають стандарти дій, робочі процедури та інструменти контролю процесів [Boiko &amp; Obolenskyi, 2025].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У сучасних дослідженнях публічного управління можна виокремити кілька основних підходів до інституціоналізації законодавчих норм через процедури, організаційні форми та інфраструктуру взаємодії. Зокрема, йдеться про створення або перебудову спеціалізованих органів та агентств для реалізації політики, , зміни всередині чинних інституцій через нові правила й процедури, а також делегацію окремих функцій управлінського циклу мережам, партнерам чи іншим недержавним суб’єктам у межах колаборативного / мережевого врядування [ Verhoest et al., 2021; Mahoney &amp; Thelen, 2010; Ansell &amp; Gash, 2008]</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Перший підхід передбачає створення або перебудову спеціалізованих органів та агентств для реалізації політики. У comparative public administration його найчастіше описують через agencification, тобто створення напівавтономних організацій, яким передаються функції імплементації політики, регулювання або надання публічних послуг [Verhoest et al., 2021].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Для європейського адміністративного простору цей підхід є особливо показовим. У науковій літературі та в офіційній інституційній архітектурі Європейського Союзу децентралізовані агентства розглядаються як структури, що виконують технічні, наукові або управлінські завдання, допомагають інституціям ЄС формувати та реалізовувати політику, а також підтримують співпрацю між інституціями Союзу, національними урядами та іншими заінтересованими сторонами [European Commission, n.d.; OECD, 2002].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Отже, у межах цього підходу формалізація норми відбувається не лише через процедуру, а й через окрему організаційну ланку з власною компетенцією, певним рівнем автономії, механізмами контролю та підзвітності [Verhoest et al., 2021; OECD, 2002].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Водночас такий підхід супроводжується зростанням організаційної складності, потребою в додатковій координації та підвищеними вимогами до механізмів контролю і підзвітності. Тому його доцільно розглядати як інструмент інституційного посилення реалізації політики, але не як автоматично найекономніший спосіб формалізації законодавчої вимоги [OECD, 2002; Verhoest et al., 2021].</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Другий підхід полягає у змінах усередині чинних інституцій через нові правила, процедури та нашарування норм. У літературі з historical institutionalism його описують через поняття gradual institutional change, коли інституційні зміни відбуваються не лише шляхом радикальної реформи, а й через послідовне переосмислення, уточнення та забезпечення виконання вже існуючих правил [Mahoney &amp; Thelen, 2010].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У практиці публічного управління це означає, що формалізація законодавчих вимог може здійснюватися через адміністративні регламенти, стандарти дій, цифрові робочі процедури, вимоги до міжвідомчого обміну даними та інші інструменти, вбудовані в діяльність уже існуючих інституцій. У логіці цифрового уряду такий підхід узгоджується з принципами digital by design, data-driven public sector і government as a platform, коли норма інтегрується в наявні процеси, сервіси та інформаційні взаємодії [OECD, 2020].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Перевагою цього підходу є можливість адаптувати управлінські механізми без створення окремих організаційних ланок, що за певних умов зменшує потребу в додаткових інституційних і координаційних витратах. Для рівня управління за інструкціями це особливо важливо, оскільки йдеться передусім про оновлення робочих процедур, алгоритмів дій та інструментів контролю в межах уже функціонуючої системи [Boiko &amp; Obolenskyi, 2025; OECD, 2020].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Водночас цей підхід не усуває ризиків інституційної інерції. Існуючі суб’єкти управління можуть чинити спротив змінам, а наявні механізми взаємодії та розподілу повноважень — відтворювати застарілі логіки координації й не встигати за темпом нових ризиків публічного управління. Тому його ефективність залежить не лише від формального оновлення процедур, а й від здатності системи до адаптації, міжвідомчої взаємодії та регулярного перегляду інструктивної інфраструктури [Mahoney &amp; Thelen, 2010; OECD, 2020]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Третій підхід полягає у делегації окремих функцій управлінського циклу мережам, партнерам чи іншим недержавним суб’єктам у межах колаборативного та мережевого врядування (collaborative/network governance). У класичному визначенні collaborative governance розглядається як такий формат інституційної взаємодії, за якого один або кілька публічних органів безпосередньо залучають недержавних стейкхолдерів до формального, консенсусно орієнтованого і деліберативного вироблення або реалізації політики [Ansell &amp; Gash, 2008].</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Новіші дослідження підкреслюють, що в цьому разі йдеться не лише про допоміжне консультування публічної влади, а про спільну участь і спільну відповідальність публічних, приватних та неприбуткових акторів у виробленні політики й наданні послуг задля створення публічної цінності, яка не може бути досягнута ізольованими діями окремого суб’єкта [Voets et al., 2021].</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У поєднанні з підходами цифрового урядування та відкритості даних це створює передумови для перенесення частини координаційних функцій у відкриті, формалізовані й відтворювані процедури взаємодії. Для логіки цього дослідження це важливо, оскільки дозволяє розглядати такі процедури як спільну інфраструктуру виконання, перевірки й удосконалення управлінських рішень на основі спільних даних, прозорих правил і повторюваних методів [OECD, 2020; Boiko &amp; Obolenskyi, 2025].</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r>
      <w:r>
        <w:rPr>
          <w:rFonts w:eastAsia="Noto Serif CJK SC" w:cs="Noto Sans Devanagari"/>
          <w:b/>
          <w:bCs/>
          <w:color w:val="auto"/>
          <w:kern w:val="2"/>
          <w:lang w:val="uk-UA" w:eastAsia="zh-CN" w:bidi="hi-IN"/>
        </w:rPr>
        <w:t xml:space="preserve">Методологія та опис дослідження: </w:t>
      </w:r>
    </w:p>
    <w:p>
      <w:pPr>
        <w:pStyle w:val="diserthesis"/>
        <w:widowControl/>
        <w:suppressAutoHyphens w:val="true"/>
        <w:overflowPunct w:val="true"/>
        <w:bidi w:val="0"/>
        <w:ind w:hanging="0" w:left="0" w:right="0"/>
        <w:rPr/>
      </w:pPr>
      <w:r>
        <w:rPr>
          <w:rFonts w:eastAsia="Noto Serif CJK SC" w:cs="Noto Sans Devanagari"/>
          <w:b/>
          <w:bCs/>
          <w:color w:val="auto"/>
          <w:kern w:val="2"/>
          <w:lang w:val="uk-UA" w:eastAsia="zh-CN" w:bidi="hi-IN"/>
        </w:rPr>
        <w:tab/>
      </w:r>
      <w:r>
        <w:rPr>
          <w:rFonts w:eastAsia="Noto Serif CJK SC" w:cs="Noto Sans Devanagari"/>
          <w:b w:val="false"/>
          <w:bCs w:val="false"/>
          <w:color w:val="auto"/>
          <w:kern w:val="2"/>
          <w:lang w:val="uk-UA" w:eastAsia="zh-CN" w:bidi="hi-IN"/>
        </w:rPr>
        <w:t>Метод морфологічного аналізу моделей публічного управління дає концептуальний інструментарій для дослідження, порівняння та проектування моделей публічного управління. У межах цього підходу такі моделі розглядаються у вигляді ортогональної двофакторної матриці, що поєднує аксіологічну градацію рівнів управління («цінності», «цілі», «інструкції») із трьома комплементарними описами — параметричним, морфологічним і функціональним [Boiko &amp; Obolenskyi, 2025].</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t>Застосування такої матриці дозволяє формалізовано описувати складові моделі публічного управління, їхні параметри, взаємовідносини та логіку взаємодії в процесі досягнення визначених цілей. На рівні управління за інструкціями це створює можливість проектувати спільні робочі процедури, інструменти координації та контролю не стільки через створення нових інституційних ланок, скільки шляхом розвитку інфраструктури взаємодії, описаної через параметричні, морфологічні та функціональні характеристики [Boiko &amp; Obolenskyi, 2025].</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t>Нижче запропоновано приклад побудови окремого елемента такої інфраструктури управління за інструкціями в межах мережевої моделі публічного управління сталим розвитком на місцевому рівні в Україні. У цьому контексті методика розглядається як рекомендований інструмент формалізації, відтворення та публічної перевірки окремої управлінської процедури [Boiko &amp; Obolenskyi, 2025].</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Опис ситуації.</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t>Прибережно-захисні смуги є інструментом правової охорони поверхневих вод і водночас формою обмеження використання земель уздовж річок та навколо водойм. Водний кодекс України і Земельний кодекс України встановлюють нормативні мінімальні розміри таких смуг та передбачають, що у разі крутизни схилів понад три градуси їх мінімальна ширина подвоюється. Екологічна логіка такого режиму узгоджується і з науковими дослідженнями, які розглядають прибережні буферні зони як дієвий інструмент зменшення надходження забруднювачів до водних об’єктів [Водний кодекс України, 1995; Земельний кодекс України, 2001; Mayer et al., 2007].</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t>Попри наявність загального правового механізму встановлення меж водоохоронних зон і прибережно-захисних смуг, чинне регулювання залишається розосередженим між кількома законодавчими, нормативними та містобудівними актами. Українські дослідження прямо вказують, що така фрагментарність ускладнює прийняття ефективних рішень, а формування водоохоронних обмежень відбувається несистемно. За цих умов правило про подвоєння мінімальної ширини ПЗС при крутизні схилів понад три градуси не має уніфікованого, публічно відтворюваного операційного опису, який дозволяв би однаково застосовувати його на практиці [Постанова КМУ № 486, 1996; Постанова КМУ № 411, 2021; Dorosh et al., 2023].</w:t>
      </w:r>
    </w:p>
    <w:p>
      <w:pPr>
        <w:pStyle w:val="diserthesis"/>
        <w:widowControl/>
        <w:suppressAutoHyphens w:val="true"/>
        <w:overflowPunct w:val="true"/>
        <w:bidi w:val="0"/>
        <w:ind w:hanging="0" w:left="0" w:right="0"/>
        <w:rPr/>
      </w:pPr>
      <w:r>
        <w:rPr>
          <w:rFonts w:eastAsia="Noto Serif CJK SC" w:cs="Noto Sans Devanagari"/>
          <w:b w:val="false"/>
          <w:bCs w:val="false"/>
          <w:color w:val="auto"/>
          <w:kern w:val="2"/>
          <w:lang w:val="uk-UA" w:eastAsia="zh-CN" w:bidi="hi-IN"/>
        </w:rPr>
        <w:tab/>
        <w:t>У практичному вимірі це означає, що виконання законодавчої вимоги ризикує залежати від вихідних даних, способу обчислення та професійного розуміння конкретного виконавця. Відтак коректність встановлення меж ПЗС складно незалежно відтворити, публічно перевірити й однаково відобразити в кадастровій та містобудівній документації. Дослідження у сфері водоохоронних обмежень також показують, що відсутність належної інформації про такі обмеження у земельному кадастрі сприяє безконтрольній забудові, неправомірним рішенням і конфліктному землекористуванню в межах прибережних територій [Dorosh et al., 2023; FAO, 2007].</w:t>
      </w:r>
    </w:p>
    <w:p>
      <w:pPr>
        <w:pStyle w:val="diserthesis"/>
        <w:widowControl/>
        <w:suppressAutoHyphens w:val="true"/>
        <w:overflowPunct w:val="true"/>
        <w:bidi w:val="0"/>
        <w:ind w:hanging="0"/>
        <w:rPr/>
      </w:pPr>
      <w:r>
        <w:rPr>
          <w:rFonts w:eastAsia="Noto Serif CJK SC" w:cs="Noto Sans Devanagari"/>
          <w:b w:val="false"/>
          <w:bCs w:val="false"/>
          <w:color w:val="auto"/>
          <w:kern w:val="2"/>
          <w:lang w:val="uk-UA" w:eastAsia="zh-CN" w:bidi="hi-IN"/>
        </w:rPr>
        <w:tab/>
        <w:t>Наслідком цієї нормативно-процедурної невизначеності є зростання транзакційних витрат для держави, громадян і потенційних інвесторів. Коли обмеження землекористування неможливо швидко і надійно перевірити, посилюється потреба в додаткових погодженнях, експертних висновках, контрольних заходах, оскарженнях і судовому захисті, а невизначеність щодо пра</w:t>
      </w:r>
      <w:r>
        <w:rPr>
          <w:rFonts w:eastAsia="Noto Serif CJK SC" w:cs="Noto Sans Devanagari"/>
          <w:b w:val="false"/>
          <w:bCs w:val="false"/>
          <w:color w:val="auto"/>
          <w:kern w:val="2"/>
          <w:lang w:val="uk-UA" w:eastAsia="zh-CN" w:bidi="hi-IN"/>
        </w:rPr>
        <w:t>вового режиму ділянки підвищує інвестиційний ризик. Міжнародні дослідження у сфері land governance прямо пов’язують юридичну визначеність, прозорість земельної інформації та якість адміністрування зі зменшенням кількості спорів і транзакційних витрат [FAO, n.d.; World Bank, 2024].</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Запропонована метод подана як послідовність взаємопов’язаних блоків: обґрунтування вибору інструментів та вихідних даних, визначення просторових параметрів аналізу, опис вхідних наборів даних, процедура розрахунку, а також блок оцінювання якості результату. На рівні вихідних параметрів методика фіксує одиниці виміру відповідно до масштабу управлінської задачі, систему координат, вимоги до екстенту й розміру пікселя, а також прикладне програмне середовище реалізації. </w:t>
      </w:r>
      <w:r>
        <w:rPr>
          <w:rFonts w:eastAsia="Noto Serif CJK SC" w:cs="Noto Sans Devanagari"/>
          <w:b w:val="false"/>
          <w:bCs w:val="false"/>
          <w:color w:val="auto"/>
          <w:kern w:val="2"/>
          <w:lang w:val="uk-UA" w:eastAsia="zh-CN" w:bidi="hi-IN"/>
        </w:rPr>
        <w:t>Метод не залежить від прикладного інструментарію. Передбачено оцінювання якості методу за критеріями якості програмних і цифрових продуктів.</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Н</w:t>
      </w:r>
      <w:r>
        <w:rPr>
          <w:rFonts w:eastAsia="Noto Serif CJK SC" w:cs="Noto Sans Devanagari"/>
          <w:b w:val="false"/>
          <w:bCs w:val="false"/>
          <w:color w:val="auto"/>
          <w:kern w:val="2"/>
          <w:lang w:val="uk-UA" w:eastAsia="zh-CN" w:bidi="hi-IN"/>
        </w:rPr>
        <w:t xml:space="preserve">абір вихідних даних включає полігон території дослідження (AOI), цифрову модель рельєфу (DEM) і векторні дані водних об’єктів; </w:t>
      </w:r>
      <w:r>
        <w:rPr>
          <w:rFonts w:eastAsia="Noto Serif CJK SC" w:cs="Noto Sans Devanagari"/>
          <w:b w:val="false"/>
          <w:bCs w:val="false"/>
          <w:color w:val="auto"/>
          <w:kern w:val="2"/>
          <w:lang w:val="uk-UA" w:eastAsia="zh-CN" w:bidi="hi-IN"/>
        </w:rPr>
        <w:t>використовуються</w:t>
      </w:r>
      <w:r>
        <w:rPr>
          <w:rFonts w:eastAsia="Noto Serif CJK SC" w:cs="Noto Sans Devanagari"/>
          <w:b w:val="false"/>
          <w:bCs w:val="false"/>
          <w:color w:val="auto"/>
          <w:kern w:val="2"/>
          <w:lang w:val="uk-UA" w:eastAsia="zh-CN" w:bidi="hi-IN"/>
        </w:rPr>
        <w:t xml:space="preserve"> геодезичн</w:t>
      </w:r>
      <w:r>
        <w:rPr>
          <w:rFonts w:eastAsia="Noto Serif CJK SC" w:cs="Noto Sans Devanagari"/>
          <w:b w:val="false"/>
          <w:bCs w:val="false"/>
          <w:color w:val="auto"/>
          <w:kern w:val="2"/>
          <w:lang w:val="uk-UA" w:eastAsia="zh-CN" w:bidi="hi-IN"/>
        </w:rPr>
        <w:t>і</w:t>
      </w:r>
      <w:r>
        <w:rPr>
          <w:rFonts w:eastAsia="Noto Serif CJK SC" w:cs="Noto Sans Devanagari"/>
          <w:b w:val="false"/>
          <w:bCs w:val="false"/>
          <w:color w:val="auto"/>
          <w:kern w:val="2"/>
          <w:lang w:val="uk-UA" w:eastAsia="zh-CN" w:bidi="hi-IN"/>
        </w:rPr>
        <w:t xml:space="preserve"> систем</w:t>
      </w:r>
      <w:r>
        <w:rPr>
          <w:rFonts w:eastAsia="Noto Serif CJK SC" w:cs="Noto Sans Devanagari"/>
          <w:b w:val="false"/>
          <w:bCs w:val="false"/>
          <w:color w:val="auto"/>
          <w:kern w:val="2"/>
          <w:lang w:val="uk-UA" w:eastAsia="zh-CN" w:bidi="hi-IN"/>
        </w:rPr>
        <w:t>и</w:t>
      </w:r>
      <w:r>
        <w:rPr>
          <w:rFonts w:eastAsia="Noto Serif CJK SC" w:cs="Noto Sans Devanagari"/>
          <w:b w:val="false"/>
          <w:bCs w:val="false"/>
          <w:color w:val="auto"/>
          <w:kern w:val="2"/>
          <w:lang w:val="uk-UA" w:eastAsia="zh-CN" w:bidi="hi-IN"/>
        </w:rPr>
        <w:t xml:space="preserve"> координат групи УСК2000.</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Обчислювальна частина методики організована у два основні етапи. Перший етап спрямований на підготовку постійних робочих даних у растровому форматі. Другий етап становить власне аналітичну процедуру, </w:t>
      </w:r>
      <w:r>
        <w:rPr>
          <w:rFonts w:eastAsia="Noto Serif CJK SC" w:cs="Noto Sans Devanagari"/>
          <w:b w:val="false"/>
          <w:bCs w:val="false"/>
          <w:color w:val="auto"/>
          <w:kern w:val="2"/>
          <w:lang w:val="uk-UA" w:eastAsia="zh-CN" w:bidi="hi-IN"/>
        </w:rPr>
        <w:t>в результаті якої формується</w:t>
      </w:r>
      <w:r>
        <w:rPr>
          <w:rFonts w:eastAsia="Noto Serif CJK SC" w:cs="Noto Sans Devanagari"/>
          <w:b w:val="false"/>
          <w:bCs w:val="false"/>
          <w:color w:val="auto"/>
          <w:kern w:val="2"/>
          <w:lang w:val="uk-UA" w:eastAsia="zh-CN" w:bidi="hi-IN"/>
        </w:rPr>
        <w:t xml:space="preserve"> фінальний контур прибережно-захисної смуги.</w:t>
      </w:r>
    </w:p>
    <w:p>
      <w:pPr>
        <w:pStyle w:val="diserthesis"/>
        <w:widowControl/>
        <w:suppressAutoHyphens w:val="true"/>
        <w:overflowPunct w:val="true"/>
        <w:bidi w:val="0"/>
        <w:ind w:hanging="0"/>
        <w:rPr>
          <w:rFonts w:ascii="Times New Roman" w:hAnsi="Times New Roman" w:eastAsia="Noto Serif CJK SC" w:cs="Noto Sans Devanagari"/>
          <w:b/>
          <w:bCs/>
          <w:color w:val="auto"/>
          <w:kern w:val="2"/>
          <w:lang w:val="uk-UA" w:eastAsia="zh-CN" w:bidi="hi-IN"/>
        </w:rPr>
      </w:pPr>
      <w:r>
        <w:rPr>
          <w:rFonts w:eastAsia="Noto Serif CJK SC" w:cs="Noto Sans Devanagari"/>
          <w:b/>
          <w:bCs/>
          <w:color w:val="auto"/>
          <w:kern w:val="2"/>
          <w:lang w:val="uk-UA" w:eastAsia="zh-CN" w:bidi="hi-IN"/>
        </w:rPr>
        <w:t>Обгрунтування методу</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У параметричному вимірі запропонований метод доцільно розглядати як рекомендований цифровий інструмент інфраструктури управління за інструкціями в мережевій моделі публічного управління, призначений для відтворюваного визначення просторових меж обмежень землекористування, що виникають у зв’язку з режимом прибережно-захисних смуг. </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Сферою його застосування є просторове планування, землеустрій, ведення та верифікація геопросторових даних, екологічний моніторинг, публічний контроль і попередня оцінка інвестиційних ризиків на місцевому та регіональному рівнях. </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Ключовим ядром такої мережі виступають населення, групи інтересів, суб’єкти громадянського суспільства, професійні спільноти, власники і користувачі земельних ділянок, потенційні інвестори, розробники містобудівної та землевпорядної документації, науково-експертні середовища і держателі геопросторових даних; органи </w:t>
      </w:r>
      <w:r>
        <w:rPr>
          <w:rFonts w:eastAsia="Noto Serif CJK SC" w:cs="Noto Sans Devanagari"/>
          <w:b w:val="false"/>
          <w:bCs w:val="false"/>
          <w:color w:val="auto"/>
          <w:kern w:val="2"/>
          <w:lang w:val="uk-UA" w:eastAsia="zh-CN" w:bidi="hi-IN"/>
        </w:rPr>
        <w:t>місцевого самоврядування</w:t>
      </w:r>
      <w:r>
        <w:rPr>
          <w:rFonts w:eastAsia="Noto Serif CJK SC" w:cs="Noto Sans Devanagari"/>
          <w:b w:val="false"/>
          <w:bCs w:val="false"/>
          <w:color w:val="auto"/>
          <w:kern w:val="2"/>
          <w:lang w:val="uk-UA" w:eastAsia="zh-CN" w:bidi="hi-IN"/>
        </w:rPr>
        <w:t xml:space="preserve"> та профільні державні інституції становлять лише одну з управлінських ланок цієї мережі, яка діє в межах визначених законом компетенцій [Boiko &amp; Obolenskyi, 2025; OECD, 2020; Водний кодекс України, 1995; Земельний кодекс України, 2001]. </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Об’єктами публічного управління, на які спрямовано метод, є водні об’єкти та прибережні території, земельні ділянки й режими їх використання, геопросторові дані про рельєф і гідрографію, а також управлінські рішення, що впливають на довгострокове просторове планування розвитку громад. </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До фіксованих параметрів методу належать правова підстава застосування, просторовий масштаб, склад вхідних даних, програмне середовище, формат результату і межі його використання: у чернетці методики такими параметрами визначено AOI, DEM, векторні дані водних об’єктів, метричну систему координат, відкриті ГІС-інструменти та стандартизований вихідний продукт у формі геопросторового контуру ПЗС із метаінформацією про процедуру. Результат методу має </w:t>
      </w:r>
      <w:r>
        <w:rPr>
          <w:rFonts w:eastAsia="Noto Serif CJK SC" w:cs="Noto Sans Devanagari"/>
          <w:b w:val="false"/>
          <w:bCs w:val="false"/>
          <w:color w:val="auto"/>
          <w:kern w:val="2"/>
          <w:lang w:val="uk-UA" w:eastAsia="zh-CN" w:bidi="hi-IN"/>
        </w:rPr>
        <w:t>інформаційний</w:t>
      </w:r>
      <w:r>
        <w:rPr>
          <w:rFonts w:eastAsia="Noto Serif CJK SC" w:cs="Noto Sans Devanagari"/>
          <w:b w:val="false"/>
          <w:bCs w:val="false"/>
          <w:color w:val="auto"/>
          <w:kern w:val="2"/>
          <w:lang w:val="uk-UA" w:eastAsia="zh-CN" w:bidi="hi-IN"/>
        </w:rPr>
        <w:t>, а не правовстановлюючий статус: він є стандартизованою інформацією для обміну між акторами мережі, публічної перевірки, підтримки рішень і раннього виявлення ризиків для інвестицій, біорізноманіття та якості просторового розвитку територіальних громад [Boiko &amp; Obolenskyi, 2025; Закон України «Про Державний земельний кадастр», 2011; Закон України «Про національну інфраструктуру геопросторових даних», 2020]</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У морфологічному вимірі запропонований метод доцільно розглядати як елемент мережевої інфраструктури управління за інструкціями, в межах якої відносини між суб’єктами та об’єктами публічного управління організовуються не лише через владну ієрархію, а й через узгоджені процедури взаємодії навколо спільної задачі. Ядро такої мережі формують тематичні профільні актори, що діють у власних сферах компетенцій та інтересів: населення і групи інтересів, суб’єкти громадянського суспільства, професійні спільноти, власники й користувачі земельних ділянок, потенційні інвестори, розробники землевпорядної та містобудівної документації, держателі геопросторових даних і органи публічного управління. Об’єктами, щодо яких вибудовуються ці відносини, виступають водні об’єкти, прибережні території, земельні ділянки, режими їх використання, геопросторові дані та управлінські рішення, що ґрунтуються на правилах прибережно-захисних смуг, установлених водним і земельним законодавством [Boiko &amp; Obolenskyi, 2025; Водний кодекс України, 1995; Земельний кодекс України, 2001].</w:t>
      </w:r>
    </w:p>
    <w:p>
      <w:pPr>
        <w:pStyle w:val="diserthesis"/>
        <w:widowControl/>
        <w:suppressAutoHyphens w:val="true"/>
        <w:overflowPunct w:val="true"/>
        <w:bidi w:val="0"/>
        <w:ind w:hanging="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Морфологічно центральним зв’язком між цими сутностями є результат застосування методу — стандартизована геопросторова інформація про межі ПЗС, параметри схилу, джерела даних і метадані процедури. У запропонованій логіці така інформація не </w:t>
      </w:r>
      <w:r>
        <w:rPr>
          <w:rFonts w:eastAsia="Noto Serif CJK SC" w:cs="Noto Sans Devanagari"/>
          <w:b w:val="false"/>
          <w:bCs w:val="false"/>
          <w:color w:val="auto"/>
          <w:kern w:val="2"/>
          <w:lang w:val="uk-UA" w:eastAsia="zh-CN" w:bidi="hi-IN"/>
        </w:rPr>
        <w:t>має силу юридичного</w:t>
      </w:r>
      <w:r>
        <w:rPr>
          <w:rFonts w:eastAsia="Noto Serif CJK SC" w:cs="Noto Sans Devanagari"/>
          <w:b w:val="false"/>
          <w:bCs w:val="false"/>
          <w:color w:val="auto"/>
          <w:kern w:val="2"/>
          <w:lang w:val="uk-UA" w:eastAsia="zh-CN" w:bidi="hi-IN"/>
        </w:rPr>
        <w:t xml:space="preserve"> акт</w:t>
      </w:r>
      <w:r>
        <w:rPr>
          <w:rFonts w:eastAsia="Noto Serif CJK SC" w:cs="Noto Sans Devanagari"/>
          <w:b w:val="false"/>
          <w:bCs w:val="false"/>
          <w:color w:val="auto"/>
          <w:kern w:val="2"/>
          <w:lang w:val="uk-UA" w:eastAsia="zh-CN" w:bidi="hi-IN"/>
        </w:rPr>
        <w:t>у</w:t>
      </w:r>
      <w:r>
        <w:rPr>
          <w:rFonts w:eastAsia="Noto Serif CJK SC" w:cs="Noto Sans Devanagari"/>
          <w:b w:val="false"/>
          <w:bCs w:val="false"/>
          <w:color w:val="auto"/>
          <w:kern w:val="2"/>
          <w:lang w:val="uk-UA" w:eastAsia="zh-CN" w:bidi="hi-IN"/>
        </w:rPr>
        <w:t xml:space="preserve">, але виступає спільним інформаційним об’єктом, яким різні актори обмінюються щодо об’єктів управління: держателі даних і розробники документації — для оновлення та узгодження наборів даних, органи публічного управління — для підтримки планувальних, контрольних і координаційних рішень, а громадськість, власники, користувачі та інвестори — для публічної перевірки, виявлення ризиків і захисту інтересів. </w:t>
      </w:r>
      <w:r>
        <w:rPr>
          <w:rFonts w:eastAsia="Noto Serif CJK SC" w:cs="Noto Sans Devanagari"/>
          <w:b w:val="false"/>
          <w:bCs w:val="false"/>
          <w:color w:val="auto"/>
          <w:kern w:val="2"/>
          <w:lang w:val="uk-UA" w:eastAsia="zh-CN" w:bidi="hi-IN"/>
        </w:rPr>
        <w:t>Така</w:t>
      </w:r>
      <w:r>
        <w:rPr>
          <w:rFonts w:eastAsia="Noto Serif CJK SC" w:cs="Noto Sans Devanagari"/>
          <w:b w:val="false"/>
          <w:bCs w:val="false"/>
          <w:color w:val="auto"/>
          <w:kern w:val="2"/>
          <w:lang w:val="uk-UA" w:eastAsia="zh-CN" w:bidi="hi-IN"/>
        </w:rPr>
        <w:t xml:space="preserve"> стандартизована інформація </w:t>
      </w:r>
      <w:r>
        <w:rPr>
          <w:rFonts w:eastAsia="Noto Serif CJK SC" w:cs="Noto Sans Devanagari"/>
          <w:b w:val="false"/>
          <w:bCs w:val="false"/>
          <w:color w:val="auto"/>
          <w:kern w:val="2"/>
          <w:lang w:val="uk-UA" w:eastAsia="zh-CN" w:bidi="hi-IN"/>
        </w:rPr>
        <w:t>є основою</w:t>
      </w:r>
      <w:r>
        <w:rPr>
          <w:rFonts w:eastAsia="Noto Serif CJK SC" w:cs="Noto Sans Devanagari"/>
          <w:b w:val="false"/>
          <w:bCs w:val="false"/>
          <w:color w:val="auto"/>
          <w:kern w:val="2"/>
          <w:lang w:val="uk-UA" w:eastAsia="zh-CN" w:bidi="hi-IN"/>
        </w:rPr>
        <w:t xml:space="preserve"> мереж</w:t>
      </w:r>
      <w:r>
        <w:rPr>
          <w:rFonts w:eastAsia="Noto Serif CJK SC" w:cs="Noto Sans Devanagari"/>
          <w:b w:val="false"/>
          <w:bCs w:val="false"/>
          <w:color w:val="auto"/>
          <w:kern w:val="2"/>
          <w:lang w:val="uk-UA" w:eastAsia="zh-CN" w:bidi="hi-IN"/>
        </w:rPr>
        <w:t>і</w:t>
      </w:r>
      <w:r>
        <w:rPr>
          <w:rFonts w:eastAsia="Noto Serif CJK SC" w:cs="Noto Sans Devanagari"/>
          <w:b w:val="false"/>
          <w:bCs w:val="false"/>
          <w:color w:val="auto"/>
          <w:kern w:val="2"/>
          <w:lang w:val="uk-UA" w:eastAsia="zh-CN" w:bidi="hi-IN"/>
        </w:rPr>
        <w:t xml:space="preserve"> відносин між акторами: вона надає їм спільний, відтворюваний і придатний до обміну опис стану об’єктів управління, який може інтегруватися у кадастрові </w:t>
      </w:r>
      <w:r>
        <w:rPr>
          <w:rFonts w:eastAsia="Noto Serif CJK SC" w:cs="Noto Sans Devanagari"/>
          <w:b w:val="false"/>
          <w:bCs w:val="false"/>
          <w:color w:val="auto"/>
          <w:kern w:val="2"/>
          <w:lang w:val="uk-UA" w:eastAsia="zh-CN" w:bidi="hi-IN"/>
        </w:rPr>
        <w:t>сервіси та реєстри</w:t>
      </w:r>
      <w:r>
        <w:rPr>
          <w:rFonts w:eastAsia="Noto Serif CJK SC" w:cs="Noto Sans Devanagari"/>
          <w:b w:val="false"/>
          <w:bCs w:val="false"/>
          <w:color w:val="auto"/>
          <w:kern w:val="2"/>
          <w:lang w:val="uk-UA" w:eastAsia="zh-CN" w:bidi="hi-IN"/>
        </w:rPr>
        <w:t xml:space="preserve"> [Boiko &amp; Obolenskyi, 2025; Закон України «Про Державний земельний кадастр», 2011; Закон України «Про національну інфраструктуру геопросторових даних», 2020]. Цю інформацію доцільно викласти в розділах 3, 4 і 6 пояснювальної записки НПА.</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У функціональному вимірі запропонований метод доцільно розглядати як відкриту, циклічну процедуру інформування, координації та раннього виявлення ризиків у користуванні прибережними територіями. Метод упроваджується через освітні ініціативи, методичні консультації, пілотні застосування та партнерську взаємодію з суб’єктами громадянського суспільства і професійними спільнотами, що декларують компетентність у сферах охорони довкілля, економіки, місцевого самоврядування, просторового планування та землеустрою. У мережевій моделі публічного управління така логіка відповідає переходу від суто ієрархічного виконання до горизонтально координованої взаємодії акторів навколо спільної процедури, а в логіці цифрового урядування — до використання даних і цифрових інструментів як основи для прозорості, участі та підтримки рішень.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Основною функцією методу є формування стандартизованої геопросторової інформації про потенційні </w:t>
      </w:r>
      <w:r>
        <w:rPr>
          <w:rFonts w:eastAsia="Noto Serif CJK SC" w:cs="Noto Sans Devanagari"/>
          <w:b w:val="false"/>
          <w:bCs w:val="false"/>
          <w:color w:val="auto"/>
          <w:kern w:val="2"/>
          <w:lang w:val="uk-UA" w:eastAsia="zh-CN" w:bidi="hi-IN"/>
        </w:rPr>
        <w:t>ризики для публічного управління земельними ресурсами</w:t>
      </w:r>
      <w:r>
        <w:rPr>
          <w:rFonts w:eastAsia="Noto Serif CJK SC" w:cs="Noto Sans Devanagari"/>
          <w:b w:val="false"/>
          <w:bCs w:val="false"/>
          <w:color w:val="auto"/>
          <w:kern w:val="2"/>
          <w:lang w:val="uk-UA" w:eastAsia="zh-CN" w:bidi="hi-IN"/>
        </w:rPr>
        <w:t>, яка використовується для своєчасного інформування суб’єктів управління та інших заінтересованих сторін про ризики для інвестицій, біорізноманіття і якості довгострокового просторового розвитку територіальних громад [Boiko &amp; Obolenskyi, 2025; Ansell &amp; Gash, 2008; OECD, 2020].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 xml:space="preserve">Процес функціонування методу доцільно описувати як безперервний цикл: актуалізація проблеми, підготовка і верифікація вхідних даних, виконання розрахунку, поширення результату через відкриті цифрові середовища, використання результату в плануванні, контролі, громадському моніторингу та публічному аудиті, збір зауважень і баг-репортів від акторів мережі, а далі — щорічне планове оновлення оприлюдненої на GitHub версії методу.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Такий цикл узгоджується з підходами до інноваційних управлінських рішень, де реалізація рішення доповнюється аналізом, контролем і коригуванням, а також із вашою чернеткою, де вже передбачені метаінформація про процедуру, та блоки оцінювання якості методики. Водночас GitHub-версію варто розглядати як середовище версіювання, тестування і підготовки наступних редакцій, тоді як стабільна редакція методу має залишатися інституційно схваленим орієнтиром для застосування в мережі учасників [Voets et al., 2021; OECD, 2020].</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Додатки</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 xml:space="preserve">Зазначений метод доступний для ознайомлення та апробації за посиланням </w:t>
      </w:r>
      <w:hyperlink r:id="rId4">
        <w:r>
          <w:rPr>
            <w:rStyle w:val="Hyperlink"/>
            <w:rFonts w:eastAsia="Noto Serif CJK SC" w:cs="Noto Sans Devanagari"/>
            <w:b w:val="false"/>
            <w:bCs w:val="false"/>
            <w:color w:val="auto"/>
            <w:kern w:val="2"/>
            <w:lang w:val="uk-UA" w:eastAsia="zh-CN" w:bidi="hi-IN"/>
          </w:rPr>
          <w:t>https://github.com/oleksaboiko/pzs_method</w:t>
        </w:r>
      </w:hyperlink>
      <w:r>
        <w:rPr>
          <w:rFonts w:eastAsia="Noto Serif CJK SC" w:cs="Noto Sans Devanagari"/>
          <w:b w:val="false"/>
          <w:bCs w:val="false"/>
          <w:color w:val="auto"/>
          <w:kern w:val="2"/>
          <w:lang w:val="uk-UA" w:eastAsia="zh-CN" w:bidi="hi-IN"/>
        </w:rPr>
        <w:t xml:space="preserve"> </w:t>
      </w:r>
    </w:p>
    <w:p>
      <w:pPr>
        <w:pStyle w:val="diserthesis"/>
        <w:widowControl/>
        <w:suppressAutoHyphens w:val="true"/>
        <w:overflowPunct w:val="true"/>
        <w:bidi w:val="0"/>
        <w:ind w:hanging="0" w:left="0" w:right="0"/>
        <w:rPr>
          <w:rFonts w:ascii="Times New Roman" w:hAnsi="Times New Roman" w:eastAsia="Noto Serif CJK SC" w:cs="Noto Sans Devanagari"/>
          <w:color w:val="auto"/>
          <w:kern w:val="2"/>
          <w:lang w:val="uk-UA" w:eastAsia="zh-CN" w:bidi="hi-IN"/>
        </w:rPr>
      </w:pPr>
      <w:r>
        <w:rPr>
          <w:rFonts w:eastAsia="Noto Serif CJK SC" w:cs="Noto Sans Devanagari"/>
          <w:color w:val="auto"/>
          <w:kern w:val="2"/>
          <w:lang w:val="uk-UA" w:eastAsia="zh-CN" w:bidi="hi-IN"/>
        </w:rPr>
        <w:tab/>
      </w:r>
      <w:r>
        <w:rPr>
          <w:rFonts w:eastAsia="Noto Serif CJK SC" w:cs="Noto Sans Devanagari"/>
          <w:b/>
          <w:bCs/>
          <w:color w:val="auto"/>
          <w:kern w:val="2"/>
          <w:lang w:val="uk-UA" w:eastAsia="zh-CN" w:bidi="hi-IN"/>
        </w:rPr>
        <w:t>Висновки:</w:t>
      </w:r>
      <w:r>
        <w:rPr>
          <w:rFonts w:eastAsia="Noto Serif CJK SC" w:cs="Noto Sans Devanagari"/>
          <w:b w:val="false"/>
          <w:bCs w:val="false"/>
          <w:color w:val="auto"/>
          <w:kern w:val="2"/>
          <w:lang w:val="uk-UA" w:eastAsia="zh-CN" w:bidi="hi-IN"/>
        </w:rPr>
        <w:t xml:space="preserve"> </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Зміст досліджень та їх результат.</w:t>
      </w:r>
    </w:p>
    <w:p>
      <w:pPr>
        <w:pStyle w:val="diserthesis"/>
        <w:widowControl/>
        <w:suppressAutoHyphens w:val="true"/>
        <w:overflowPunct w:val="true"/>
        <w:bidi w:val="0"/>
        <w:ind w:hanging="0" w:left="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ab/>
        <w:t>Пропозиція дозволяє вирішити декілька управлінських задач:</w:t>
        <w:br/>
        <w:tab/>
        <w:t>1. Створити публічний, перевірюваний і повторюваний підхід до визначення розмірів ПЗС,</w:t>
      </w:r>
    </w:p>
    <w:p>
      <w:pPr>
        <w:pStyle w:val="diserthesis"/>
        <w:widowControl/>
        <w:numPr>
          <w:ilvl w:val="0"/>
          <w:numId w:val="0"/>
        </w:numPr>
        <w:suppressAutoHyphens w:val="true"/>
        <w:overflowPunct w:val="true"/>
        <w:bidi w:val="0"/>
        <w:ind w:hanging="0" w:left="72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2. Спростити процеси управління у виконавчій владі, зменшуючи транзакційні витрати на встановлення факту порушень ПЗС.</w:t>
      </w:r>
    </w:p>
    <w:p>
      <w:pPr>
        <w:pStyle w:val="diserthesis"/>
        <w:widowControl/>
        <w:numPr>
          <w:ilvl w:val="0"/>
          <w:numId w:val="0"/>
        </w:numPr>
        <w:suppressAutoHyphens w:val="true"/>
        <w:overflowPunct w:val="true"/>
        <w:bidi w:val="0"/>
        <w:ind w:hanging="0" w:left="72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3. Підвищити прозорість управління для потенційних інвесторів, які матимуть можливість визначити ризики до початку економічної діяльності;</w:t>
      </w:r>
    </w:p>
    <w:p>
      <w:pPr>
        <w:pStyle w:val="diserthesis"/>
        <w:widowControl/>
        <w:numPr>
          <w:ilvl w:val="0"/>
          <w:numId w:val="0"/>
        </w:numPr>
        <w:suppressAutoHyphens w:val="true"/>
        <w:overflowPunct w:val="true"/>
        <w:bidi w:val="0"/>
        <w:ind w:hanging="0" w:left="72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4. Підвищити швидкість прийняття рішень за рахунок цифровізації процедури визначення ПЗС геоінформаційними інструментами державних кадастрів;</w:t>
      </w:r>
    </w:p>
    <w:p>
      <w:pPr>
        <w:pStyle w:val="diserthesis"/>
        <w:widowControl/>
        <w:numPr>
          <w:ilvl w:val="0"/>
          <w:numId w:val="0"/>
        </w:numPr>
        <w:suppressAutoHyphens w:val="true"/>
        <w:overflowPunct w:val="true"/>
        <w:bidi w:val="0"/>
        <w:ind w:hanging="0" w:left="72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5. Перейти до моделі мережевого управління, де різні суб’єкти зможуть приймати властиві їм рішення на основі спільної, перевірюваної інформації;</w:t>
      </w:r>
    </w:p>
    <w:p>
      <w:pPr>
        <w:pStyle w:val="diserthesis"/>
        <w:widowControl/>
        <w:numPr>
          <w:ilvl w:val="0"/>
          <w:numId w:val="0"/>
        </w:numPr>
        <w:suppressAutoHyphens w:val="true"/>
        <w:overflowPunct w:val="true"/>
        <w:bidi w:val="0"/>
        <w:ind w:hanging="0" w:left="720" w:right="0"/>
        <w:rPr>
          <w:rFonts w:ascii="Times New Roman" w:hAnsi="Times New Roman" w:eastAsia="Noto Serif CJK SC" w:cs="Noto Sans Devanagari"/>
          <w:b w:val="false"/>
          <w:bCs w:val="false"/>
          <w:color w:val="auto"/>
          <w:kern w:val="2"/>
          <w:lang w:val="uk-UA" w:eastAsia="zh-CN" w:bidi="hi-IN"/>
        </w:rPr>
      </w:pPr>
      <w:r>
        <w:rPr>
          <w:rFonts w:eastAsia="Noto Serif CJK SC" w:cs="Noto Sans Devanagari"/>
          <w:b w:val="false"/>
          <w:bCs w:val="false"/>
          <w:color w:val="auto"/>
          <w:kern w:val="2"/>
          <w:lang w:val="uk-UA" w:eastAsia="zh-CN" w:bidi="hi-IN"/>
        </w:rPr>
        <w:t xml:space="preserve">6. Підвищити гнучкість і швидкість адаптації механізмів публічного управління держави за рахунок розміщення даних методики на краудсорсингових ресурсах (Github), що дозволить спеціалістам та іншим зацікавленим суб’єктам вносити пропозиції до методики по мірі отримання досвіду її використання. Крім того, краудсорсингові ресурси дозволять регулярне оновлення методики, без залучення наявних бюрократичних процедур оновлення НПА. </w:t>
        <w:tab/>
      </w:r>
    </w:p>
    <w:p>
      <w:pPr>
        <w:pStyle w:val="diserthesis"/>
        <w:widowControl/>
        <w:suppressAutoHyphens w:val="true"/>
        <w:overflowPunct w:val="true"/>
        <w:bidi w:val="0"/>
        <w:ind w:hanging="0" w:left="0" w:right="0"/>
        <w:rPr>
          <w:rFonts w:ascii="Times New Roman" w:hAnsi="Times New Roman" w:eastAsia="Noto Serif CJK SC" w:cs="Noto Sans Devanagari"/>
          <w:color w:val="auto"/>
          <w:kern w:val="2"/>
          <w:lang w:val="uk-UA" w:eastAsia="zh-CN" w:bidi="hi-IN"/>
        </w:rPr>
      </w:pPr>
      <w:r>
        <w:rPr>
          <w:rFonts w:eastAsia="Noto Serif CJK SC" w:cs="Noto Sans Devanagari"/>
          <w:b w:val="false"/>
          <w:bCs w:val="false"/>
          <w:color w:val="auto"/>
          <w:kern w:val="2"/>
          <w:lang w:val="uk-UA" w:eastAsia="zh-CN" w:bidi="hi-IN"/>
        </w:rPr>
        <w:tab/>
        <w:t>Недоліки.</w:t>
      </w:r>
    </w:p>
    <w:p>
      <w:pPr>
        <w:pStyle w:val="diserthesis"/>
        <w:widowControl/>
        <w:suppressAutoHyphens w:val="true"/>
        <w:overflowPunct w:val="true"/>
        <w:bidi w:val="0"/>
        <w:ind w:hanging="0" w:left="0" w:right="0"/>
        <w:rPr>
          <w:rFonts w:ascii="Times New Roman" w:hAnsi="Times New Roman" w:eastAsia="Noto Serif CJK SC" w:cs="Noto Sans Devanagari"/>
          <w:color w:val="auto"/>
          <w:kern w:val="2"/>
          <w:lang w:val="uk-UA" w:eastAsia="zh-CN" w:bidi="hi-IN"/>
        </w:rPr>
      </w:pPr>
      <w:r>
        <w:rPr>
          <w:rFonts w:eastAsia="Noto Serif CJK SC" w:cs="Noto Sans Devanagari"/>
          <w:b w:val="false"/>
          <w:bCs w:val="false"/>
          <w:color w:val="auto"/>
          <w:kern w:val="2"/>
          <w:lang w:val="uk-UA" w:eastAsia="zh-CN" w:bidi="hi-IN"/>
        </w:rPr>
        <w:tab/>
        <w:t>Подальші дослідження.</w:t>
      </w:r>
    </w:p>
    <w:p>
      <w:pPr>
        <w:pStyle w:val="diserthesis"/>
        <w:widowControl/>
        <w:suppressAutoHyphens w:val="true"/>
        <w:overflowPunct w:val="true"/>
        <w:bidi w:val="0"/>
        <w:spacing w:before="0" w:after="140"/>
        <w:ind w:hanging="0" w:left="0" w:right="0"/>
        <w:rPr>
          <w:b/>
          <w:bCs/>
        </w:rPr>
      </w:pPr>
      <w:r>
        <w:rPr>
          <w:rFonts w:eastAsia="Noto Serif CJK SC" w:cs="Noto Sans Devanagari"/>
          <w:b/>
          <w:bCs/>
          <w:color w:val="auto"/>
          <w:kern w:val="2"/>
          <w:lang w:val="uk-UA" w:eastAsia="zh-CN" w:bidi="hi-IN"/>
        </w:rPr>
        <w:t>Список використаної літератури</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Liberation Serif">
    <w:altName w:val="Times New Roman"/>
    <w:charset w:val="01"/>
    <w:family w:val="swiss"/>
    <w:pitch w:val="variable"/>
  </w:font>
  <w:font w:name="OpenSymbol">
    <w:altName w:val="Arial Unicode MS"/>
    <w:charset w:val="01"/>
    <w:family w:val="roman"/>
    <w:pitch w:val="default"/>
  </w:font>
  <w:font w:name="Liberation Sans">
    <w:altName w:val="Arial"/>
    <w:charset w:val="01"/>
    <w:family w:val="roman"/>
    <w:pitch w:val="default"/>
  </w:font>
  <w:font w:name="Times New Roman">
    <w:altName w:val="serif"/>
    <w:charset w:val="01"/>
    <w:family w:val="roma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Noto Serif CJK SC" w:cs="Noto Sans Devanagari"/>
      <w:color w:val="auto"/>
      <w:kern w:val="2"/>
      <w:sz w:val="24"/>
      <w:szCs w:val="24"/>
      <w:lang w:val="uk-UA" w:eastAsia="zh-CN" w:bidi="hi-IN"/>
    </w:rPr>
  </w:style>
  <w:style w:type="paragraph" w:styleId="Heading1">
    <w:name w:val="Heading 1"/>
    <w:basedOn w:val="Style15"/>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Style15"/>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Style12">
    <w:name w:val="Символ нумерації"/>
    <w:qFormat/>
    <w:rPr/>
  </w:style>
  <w:style w:type="character" w:styleId="Hyperlink">
    <w:name w:val="Hyperlink"/>
    <w:rPr>
      <w:color w:val="000080"/>
      <w:u w:val="single"/>
    </w:rPr>
  </w:style>
  <w:style w:type="character" w:styleId="Emphasis">
    <w:name w:val="Emphasis"/>
    <w:qFormat/>
    <w:rPr>
      <w:i/>
      <w:iCs/>
    </w:rPr>
  </w:style>
  <w:style w:type="character" w:styleId="Style13">
    <w:name w:val="Символи виноски"/>
    <w:qFormat/>
    <w:rPr>
      <w:vertAlign w:val="superscript"/>
    </w:rPr>
  </w:style>
  <w:style w:type="character" w:styleId="FootnoteReference">
    <w:name w:val="Footnote Reference"/>
    <w:rPr>
      <w:vertAlign w:val="superscript"/>
    </w:rPr>
  </w:style>
  <w:style w:type="character" w:styleId="FollowedHyperlink">
    <w:name w:val="FollowedHyperlink"/>
    <w:rPr>
      <w:color w:val="800000"/>
      <w:u w:val="single"/>
    </w:rPr>
  </w:style>
  <w:style w:type="character" w:styleId="Style14">
    <w:name w:val="Маркери"/>
    <w:qFormat/>
    <w:rPr>
      <w:rFonts w:ascii="OpenSymbol" w:hAnsi="OpenSymbol" w:eastAsia="OpenSymbol" w:cs="OpenSymbol"/>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Style16">
    <w:name w:val="Покажчик"/>
    <w:basedOn w:val="Normal"/>
    <w:qFormat/>
    <w:pPr>
      <w:suppressLineNumbers/>
    </w:pPr>
    <w:rPr>
      <w:rFonts w:ascii="Times New Roman" w:hAnsi="Times New Roman" w:cs="Noto Sans Devanagari"/>
    </w:rPr>
  </w:style>
  <w:style w:type="paragraph" w:styleId="diserthesis">
    <w:name w:val="diser_thesis"/>
    <w:basedOn w:val="BodyText"/>
    <w:qFormat/>
    <w:pPr>
      <w:spacing w:lineRule="auto" w:line="360" w:before="0" w:after="140"/>
      <w:ind w:firstLine="680" w:left="0" w:right="0"/>
      <w:jc w:val="both"/>
    </w:pPr>
    <w:rPr>
      <w:sz w:val="28"/>
      <w:szCs w:val="28"/>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3-3676-6043" TargetMode="External"/><Relationship Id="rId3" Type="http://schemas.openxmlformats.org/officeDocument/2006/relationships/hyperlink" Target="https://orcid.org/0000-0002-4058-1191" TargetMode="External"/><Relationship Id="rId4" Type="http://schemas.openxmlformats.org/officeDocument/2006/relationships/hyperlink" Target="https://github.com/oleksaboiko/pzs_method"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673</TotalTime>
  <Application>LibreOffice/24.2.7.2$Linux_X86_64 LibreOffice_project/420$Build-2</Application>
  <AppVersion>15.0000</AppVersion>
  <Pages>12</Pages>
  <Words>2452</Words>
  <Characters>18063</Characters>
  <CharactersWithSpaces>20526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2025-02-16T21:05:53Z</dcterms:created>
  <dc:creator>Oleksii Boiko</dc:creator>
  <dc:description/>
  <dc:language>uk-UA</dc:language>
  <cp:lastModifiedBy>Oleksii Boiko</cp:lastModifiedBy>
  <cp:lastPrinted>2026-04-15T22:45:42Z</cp:lastPrinted>
  <dcterms:modified xsi:type="dcterms:W3CDTF">2026-04-16T09:28:43Z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