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71" w:rsidRPr="0027088B" w:rsidRDefault="0027088B">
      <w:pPr>
        <w:rPr>
          <w:b/>
          <w:sz w:val="28"/>
          <w:lang w:val="uk-UA"/>
        </w:rPr>
      </w:pPr>
      <w:r w:rsidRPr="0027088B">
        <w:rPr>
          <w:b/>
          <w:sz w:val="28"/>
          <w:lang w:val="uk-UA"/>
        </w:rPr>
        <w:t>Передзахист (семінар №2)</w:t>
      </w:r>
      <w:r w:rsidR="00D14EBC">
        <w:rPr>
          <w:b/>
          <w:sz w:val="28"/>
          <w:lang w:val="uk-UA"/>
        </w:rPr>
        <w:t xml:space="preserve">  13-14 травня</w:t>
      </w:r>
    </w:p>
    <w:p w:rsidR="0027088B" w:rsidRDefault="0027088B">
      <w:pPr>
        <w:rPr>
          <w:sz w:val="28"/>
          <w:lang w:val="uk-UA"/>
        </w:rPr>
      </w:pPr>
      <w:r w:rsidRPr="0027088B">
        <w:rPr>
          <w:sz w:val="28"/>
          <w:lang w:val="uk-UA"/>
        </w:rPr>
        <w:t xml:space="preserve">1. </w:t>
      </w:r>
      <w:r w:rsidR="006146F8">
        <w:rPr>
          <w:sz w:val="28"/>
          <w:lang w:val="uk-UA"/>
        </w:rPr>
        <w:t>П</w:t>
      </w:r>
      <w:r w:rsidRPr="0027088B">
        <w:rPr>
          <w:sz w:val="28"/>
          <w:lang w:val="uk-UA"/>
        </w:rPr>
        <w:t>ідготувати та подати тези на конференцію ІСТУ-2021</w:t>
      </w:r>
      <w:r w:rsidR="00447C35">
        <w:rPr>
          <w:sz w:val="28"/>
          <w:lang w:val="uk-UA"/>
        </w:rPr>
        <w:t xml:space="preserve"> (для </w:t>
      </w:r>
      <w:r w:rsidR="00447C35" w:rsidRPr="00447C35">
        <w:rPr>
          <w:sz w:val="28"/>
          <w:lang w:val="uk-UA"/>
        </w:rPr>
        <w:t>бакалаврів термін подачі матеріалів 11 травня</w:t>
      </w:r>
      <w:r w:rsidR="00447C35">
        <w:rPr>
          <w:sz w:val="28"/>
          <w:lang w:val="uk-UA"/>
        </w:rPr>
        <w:t>)</w:t>
      </w:r>
      <w:r w:rsidRPr="0027088B">
        <w:rPr>
          <w:sz w:val="28"/>
          <w:lang w:val="uk-UA"/>
        </w:rPr>
        <w:t>;</w:t>
      </w:r>
    </w:p>
    <w:p w:rsidR="00447C35" w:rsidRDefault="00447C35">
      <w:pPr>
        <w:rPr>
          <w:sz w:val="28"/>
          <w:lang w:val="uk-UA"/>
        </w:rPr>
      </w:pPr>
      <w:r>
        <w:rPr>
          <w:sz w:val="28"/>
          <w:lang w:val="uk-UA"/>
        </w:rPr>
        <w:t xml:space="preserve">2. підготувати доповідь на конференцію </w:t>
      </w:r>
      <w:r w:rsidRPr="0027088B">
        <w:rPr>
          <w:sz w:val="28"/>
          <w:lang w:val="uk-UA"/>
        </w:rPr>
        <w:t>ІСТУ-2021</w:t>
      </w:r>
      <w:r>
        <w:rPr>
          <w:sz w:val="28"/>
          <w:lang w:val="uk-UA"/>
        </w:rPr>
        <w:t xml:space="preserve"> та семінар №2 (суміщений захід), що відбудеться </w:t>
      </w:r>
      <w:r w:rsidRPr="00447C35">
        <w:rPr>
          <w:sz w:val="28"/>
          <w:lang w:val="uk-UA"/>
        </w:rPr>
        <w:t>13-14 травня для бакалаврів</w:t>
      </w:r>
      <w:r>
        <w:rPr>
          <w:sz w:val="28"/>
          <w:lang w:val="uk-UA"/>
        </w:rPr>
        <w:t>.  Доповідь із презентацією повинна  включати усі результати по ДП та декілька слайдів із результатами, що подані на конференцію ІСТУ-2021</w:t>
      </w:r>
      <w:r w:rsidRPr="00447C35">
        <w:rPr>
          <w:sz w:val="28"/>
          <w:lang w:val="uk-UA"/>
        </w:rPr>
        <w:t>;</w:t>
      </w:r>
    </w:p>
    <w:p w:rsidR="00447C35" w:rsidRDefault="00447C35">
      <w:pPr>
        <w:rPr>
          <w:sz w:val="28"/>
          <w:lang w:val="uk-UA"/>
        </w:rPr>
      </w:pPr>
      <w:r>
        <w:rPr>
          <w:sz w:val="28"/>
          <w:lang w:val="uk-UA"/>
        </w:rPr>
        <w:t xml:space="preserve">3. за результатами доповіді на </w:t>
      </w:r>
      <w:r>
        <w:rPr>
          <w:sz w:val="28"/>
          <w:lang w:val="uk-UA"/>
        </w:rPr>
        <w:t>семінар</w:t>
      </w:r>
      <w:r>
        <w:rPr>
          <w:sz w:val="28"/>
          <w:lang w:val="uk-UA"/>
        </w:rPr>
        <w:t>і</w:t>
      </w:r>
      <w:r>
        <w:rPr>
          <w:sz w:val="28"/>
          <w:lang w:val="uk-UA"/>
        </w:rPr>
        <w:t xml:space="preserve"> №2 </w:t>
      </w:r>
      <w:r>
        <w:rPr>
          <w:sz w:val="28"/>
          <w:lang w:val="uk-UA"/>
        </w:rPr>
        <w:t>(</w:t>
      </w:r>
      <w:r w:rsidR="00D14EBC">
        <w:rPr>
          <w:sz w:val="28"/>
          <w:lang w:val="uk-UA"/>
        </w:rPr>
        <w:t>та</w:t>
      </w:r>
      <w:r w:rsidR="00D14EBC">
        <w:rPr>
          <w:sz w:val="28"/>
          <w:lang w:val="uk-UA"/>
        </w:rPr>
        <w:t xml:space="preserve"> конференці</w:t>
      </w:r>
      <w:r w:rsidR="00D14EBC">
        <w:rPr>
          <w:sz w:val="28"/>
          <w:lang w:val="uk-UA"/>
        </w:rPr>
        <w:t>ї</w:t>
      </w:r>
      <w:r w:rsidR="00D14EBC">
        <w:rPr>
          <w:sz w:val="28"/>
          <w:lang w:val="uk-UA"/>
        </w:rPr>
        <w:t xml:space="preserve"> </w:t>
      </w:r>
      <w:r w:rsidR="00D14EBC" w:rsidRPr="0027088B">
        <w:rPr>
          <w:sz w:val="28"/>
          <w:lang w:val="uk-UA"/>
        </w:rPr>
        <w:t>ІСТУ-2021</w:t>
      </w:r>
      <w:r>
        <w:rPr>
          <w:sz w:val="28"/>
          <w:lang w:val="uk-UA"/>
        </w:rPr>
        <w:t>)  комісі</w:t>
      </w:r>
      <w:r w:rsidR="00D14EBC">
        <w:rPr>
          <w:sz w:val="28"/>
          <w:lang w:val="uk-UA"/>
        </w:rPr>
        <w:t>я допускає студента до захисту</w:t>
      </w:r>
    </w:p>
    <w:p w:rsidR="00D14EBC" w:rsidRDefault="00D14EBC">
      <w:pPr>
        <w:rPr>
          <w:b/>
          <w:sz w:val="28"/>
          <w:lang w:val="uk-UA"/>
        </w:rPr>
      </w:pPr>
      <w:r w:rsidRPr="00D14EBC">
        <w:rPr>
          <w:b/>
          <w:sz w:val="28"/>
          <w:lang w:val="uk-UA"/>
        </w:rPr>
        <w:t>Залік з переддипломної практики</w:t>
      </w:r>
      <w:r>
        <w:rPr>
          <w:b/>
          <w:sz w:val="28"/>
          <w:lang w:val="uk-UA"/>
        </w:rPr>
        <w:t xml:space="preserve"> – дата проведення  (останній тиждень практики) – визначається керівником практики:</w:t>
      </w:r>
    </w:p>
    <w:p w:rsidR="00D14EBC" w:rsidRDefault="00D14EBC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гр. ІС-71 – Тєлишева Тамара Олексіївна</w:t>
      </w:r>
      <w:r w:rsidR="00806B99">
        <w:rPr>
          <w:b/>
          <w:sz w:val="28"/>
          <w:lang w:val="uk-UA"/>
        </w:rPr>
        <w:t xml:space="preserve"> </w:t>
      </w:r>
      <w:r w:rsidR="00806B99" w:rsidRPr="00806B99">
        <w:rPr>
          <w:sz w:val="28"/>
          <w:lang w:val="uk-UA"/>
        </w:rPr>
        <w:t>(</w:t>
      </w:r>
      <w:r w:rsidR="00806B99">
        <w:rPr>
          <w:sz w:val="28"/>
          <w:lang w:val="en-US"/>
        </w:rPr>
        <w:t>telegram</w:t>
      </w:r>
      <w:r w:rsidR="00806B99" w:rsidRPr="00806B99">
        <w:rPr>
          <w:sz w:val="28"/>
          <w:lang w:val="uk-UA"/>
        </w:rPr>
        <w:t xml:space="preserve">, </w:t>
      </w:r>
      <w:r w:rsidR="00806B99">
        <w:rPr>
          <w:sz w:val="28"/>
          <w:lang w:val="uk-UA"/>
        </w:rPr>
        <w:t>Дипломне проєктування</w:t>
      </w:r>
      <w:r w:rsidR="00806B99" w:rsidRPr="00806B99">
        <w:rPr>
          <w:sz w:val="28"/>
          <w:lang w:val="uk-UA"/>
        </w:rPr>
        <w:t>)</w:t>
      </w:r>
    </w:p>
    <w:p w:rsidR="00D14EBC" w:rsidRDefault="00D14EBC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гр. ІС-72 – Новінський Валерій Петрович</w:t>
      </w:r>
      <w:r w:rsidR="00806B99">
        <w:rPr>
          <w:b/>
          <w:sz w:val="28"/>
          <w:lang w:val="uk-UA"/>
        </w:rPr>
        <w:t xml:space="preserve"> </w:t>
      </w:r>
      <w:r w:rsidR="00806B99" w:rsidRPr="00806B99">
        <w:rPr>
          <w:sz w:val="28"/>
          <w:lang w:val="uk-UA"/>
        </w:rPr>
        <w:t>(v.novinskiy@hotmail.com)</w:t>
      </w:r>
    </w:p>
    <w:p w:rsidR="00D14EBC" w:rsidRPr="00D14EBC" w:rsidRDefault="00D14EBC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гр. ІС-73 – Мажара Ольга Олександрівна</w:t>
      </w:r>
      <w:r w:rsidR="00806B99">
        <w:rPr>
          <w:b/>
          <w:sz w:val="28"/>
          <w:lang w:val="uk-UA"/>
        </w:rPr>
        <w:t xml:space="preserve"> </w:t>
      </w:r>
      <w:r w:rsidR="00806B99" w:rsidRPr="00806B99">
        <w:rPr>
          <w:sz w:val="28"/>
          <w:lang w:val="uk-UA"/>
        </w:rPr>
        <w:t>(</w:t>
      </w:r>
      <w:r w:rsidR="00806B99">
        <w:rPr>
          <w:sz w:val="28"/>
          <w:lang w:val="en-US"/>
        </w:rPr>
        <w:t>telegram</w:t>
      </w:r>
      <w:r w:rsidR="00806B99" w:rsidRPr="00806B99">
        <w:rPr>
          <w:sz w:val="28"/>
          <w:lang w:val="uk-UA"/>
        </w:rPr>
        <w:t xml:space="preserve">, </w:t>
      </w:r>
      <w:r w:rsidR="00806B99">
        <w:rPr>
          <w:sz w:val="28"/>
          <w:lang w:val="uk-UA"/>
        </w:rPr>
        <w:t>Дипломне проєктування</w:t>
      </w:r>
      <w:r w:rsidR="00806B99" w:rsidRPr="00806B99">
        <w:rPr>
          <w:sz w:val="28"/>
          <w:lang w:val="uk-UA"/>
        </w:rPr>
        <w:t>)</w:t>
      </w:r>
    </w:p>
    <w:p w:rsidR="0027088B" w:rsidRDefault="00D14EBC" w:rsidP="00D14EBC">
      <w:pPr>
        <w:jc w:val="both"/>
        <w:rPr>
          <w:sz w:val="28"/>
          <w:lang w:val="uk-UA"/>
        </w:rPr>
      </w:pPr>
      <w:r>
        <w:rPr>
          <w:sz w:val="28"/>
          <w:lang w:val="uk-UA"/>
        </w:rPr>
        <w:t>1</w:t>
      </w:r>
      <w:r w:rsidR="0027088B" w:rsidRPr="0027088B">
        <w:rPr>
          <w:sz w:val="28"/>
          <w:lang w:val="uk-UA"/>
        </w:rPr>
        <w:t xml:space="preserve">. </w:t>
      </w:r>
      <w:r w:rsidR="006146F8">
        <w:rPr>
          <w:sz w:val="28"/>
          <w:lang w:val="uk-UA"/>
        </w:rPr>
        <w:t>З</w:t>
      </w:r>
      <w:r w:rsidR="0027088B" w:rsidRPr="0027088B">
        <w:rPr>
          <w:sz w:val="28"/>
          <w:lang w:val="uk-UA"/>
        </w:rPr>
        <w:t xml:space="preserve">атвердити у керівника диплом (все, що зроблено), ТЗ та програмний продукт, відсоток виконання керівник </w:t>
      </w:r>
      <w:r w:rsidR="0027088B">
        <w:rPr>
          <w:sz w:val="28"/>
          <w:lang w:val="uk-UA"/>
        </w:rPr>
        <w:t xml:space="preserve"> відмічає у файлі з рез</w:t>
      </w:r>
      <w:bookmarkStart w:id="0" w:name="_GoBack"/>
      <w:bookmarkEnd w:id="0"/>
      <w:r w:rsidR="0027088B">
        <w:rPr>
          <w:sz w:val="28"/>
          <w:lang w:val="uk-UA"/>
        </w:rPr>
        <w:t>ультатами передзахисту – це вважається допуском студента на передзахист</w:t>
      </w:r>
      <w:r>
        <w:rPr>
          <w:sz w:val="28"/>
          <w:lang w:val="uk-UA"/>
        </w:rPr>
        <w:t xml:space="preserve"> та на залік з переддипломної практики</w:t>
      </w:r>
      <w:r w:rsidR="0027088B" w:rsidRPr="0027088B">
        <w:rPr>
          <w:sz w:val="28"/>
          <w:lang w:val="uk-UA"/>
        </w:rPr>
        <w:t xml:space="preserve"> </w:t>
      </w:r>
      <w:r w:rsidR="0027088B">
        <w:rPr>
          <w:sz w:val="28"/>
          <w:lang w:val="uk-UA"/>
        </w:rPr>
        <w:t>керівником ДП</w:t>
      </w:r>
      <w:r w:rsidR="0027088B">
        <w:rPr>
          <w:sz w:val="28"/>
          <w:lang w:val="uk-UA"/>
        </w:rPr>
        <w:t>;</w:t>
      </w:r>
    </w:p>
    <w:p w:rsidR="0027088B" w:rsidRDefault="00D14EBC">
      <w:pPr>
        <w:rPr>
          <w:sz w:val="28"/>
          <w:lang w:val="uk-UA"/>
        </w:rPr>
      </w:pPr>
      <w:r>
        <w:rPr>
          <w:sz w:val="28"/>
          <w:lang w:val="uk-UA"/>
        </w:rPr>
        <w:t>2</w:t>
      </w:r>
      <w:r w:rsidR="0027088B">
        <w:rPr>
          <w:sz w:val="28"/>
          <w:lang w:val="uk-UA"/>
        </w:rPr>
        <w:t>. якщо є допуск керівника, студент</w:t>
      </w:r>
      <w:r>
        <w:rPr>
          <w:sz w:val="28"/>
          <w:lang w:val="uk-UA"/>
        </w:rPr>
        <w:t xml:space="preserve"> подає матеріали керівнику практики:</w:t>
      </w:r>
    </w:p>
    <w:p w:rsidR="00D14EBC" w:rsidRDefault="00D14EBC">
      <w:pPr>
        <w:rPr>
          <w:sz w:val="28"/>
          <w:lang w:val="uk-UA"/>
        </w:rPr>
      </w:pPr>
      <w:r>
        <w:rPr>
          <w:sz w:val="28"/>
          <w:lang w:val="uk-UA"/>
        </w:rPr>
        <w:t>– звіт з практики;</w:t>
      </w:r>
    </w:p>
    <w:p w:rsidR="00D14EBC" w:rsidRDefault="00D14EBC">
      <w:pPr>
        <w:rPr>
          <w:sz w:val="28"/>
          <w:lang w:val="uk-UA"/>
        </w:rPr>
      </w:pPr>
      <w:r>
        <w:rPr>
          <w:sz w:val="28"/>
          <w:lang w:val="uk-UA"/>
        </w:rPr>
        <w:t>– заповнений щоденник практики;</w:t>
      </w:r>
    </w:p>
    <w:p w:rsidR="00D14EBC" w:rsidRDefault="00D14EBC">
      <w:pPr>
        <w:rPr>
          <w:sz w:val="28"/>
          <w:lang w:val="uk-UA"/>
        </w:rPr>
      </w:pPr>
      <w:r>
        <w:rPr>
          <w:sz w:val="28"/>
          <w:lang w:val="uk-UA"/>
        </w:rPr>
        <w:t>– програмний продукт;</w:t>
      </w:r>
    </w:p>
    <w:p w:rsidR="004362DB" w:rsidRDefault="004362DB">
      <w:pPr>
        <w:rPr>
          <w:sz w:val="28"/>
          <w:lang w:val="uk-UA"/>
        </w:rPr>
      </w:pPr>
      <w:r>
        <w:rPr>
          <w:sz w:val="28"/>
          <w:lang w:val="uk-UA"/>
        </w:rPr>
        <w:t>3. керівник практики після прийому заліка виставляє в файлі з результатами передзахисту результат заліка</w:t>
      </w:r>
    </w:p>
    <w:p w:rsidR="004362DB" w:rsidRDefault="004362DB" w:rsidP="006146F8">
      <w:pPr>
        <w:pBdr>
          <w:top w:val="single" w:sz="18" w:space="1" w:color="548DD4" w:themeColor="text2" w:themeTint="99"/>
          <w:left w:val="single" w:sz="18" w:space="4" w:color="548DD4" w:themeColor="text2" w:themeTint="99"/>
          <w:bottom w:val="single" w:sz="18" w:space="1" w:color="548DD4" w:themeColor="text2" w:themeTint="99"/>
          <w:right w:val="single" w:sz="18" w:space="4" w:color="548DD4" w:themeColor="text2" w:themeTint="99"/>
        </w:pBdr>
        <w:rPr>
          <w:b/>
          <w:sz w:val="28"/>
          <w:lang w:val="uk-UA"/>
        </w:rPr>
      </w:pPr>
      <w:r w:rsidRPr="004362DB">
        <w:rPr>
          <w:b/>
          <w:sz w:val="28"/>
          <w:lang w:val="uk-UA"/>
        </w:rPr>
        <w:t>Зміст звіту з практики:</w:t>
      </w:r>
    </w:p>
    <w:p w:rsidR="004362DB" w:rsidRDefault="004362DB" w:rsidP="006146F8">
      <w:pPr>
        <w:pBdr>
          <w:top w:val="single" w:sz="18" w:space="1" w:color="548DD4" w:themeColor="text2" w:themeTint="99"/>
          <w:left w:val="single" w:sz="18" w:space="4" w:color="548DD4" w:themeColor="text2" w:themeTint="99"/>
          <w:bottom w:val="single" w:sz="18" w:space="1" w:color="548DD4" w:themeColor="text2" w:themeTint="99"/>
          <w:right w:val="single" w:sz="18" w:space="4" w:color="548DD4" w:themeColor="text2" w:themeTint="99"/>
        </w:pBdr>
        <w:rPr>
          <w:sz w:val="28"/>
          <w:lang w:val="uk-UA"/>
        </w:rPr>
      </w:pPr>
      <w:r w:rsidRPr="004362DB">
        <w:rPr>
          <w:sz w:val="28"/>
          <w:lang w:val="uk-UA"/>
        </w:rPr>
        <w:t xml:space="preserve">1. </w:t>
      </w:r>
      <w:r>
        <w:rPr>
          <w:sz w:val="28"/>
          <w:lang w:val="uk-UA"/>
        </w:rPr>
        <w:t xml:space="preserve"> Технічне завдання</w:t>
      </w:r>
    </w:p>
    <w:p w:rsidR="004362DB" w:rsidRPr="004362DB" w:rsidRDefault="004362DB" w:rsidP="006146F8">
      <w:pPr>
        <w:pBdr>
          <w:top w:val="single" w:sz="18" w:space="1" w:color="548DD4" w:themeColor="text2" w:themeTint="99"/>
          <w:left w:val="single" w:sz="18" w:space="4" w:color="548DD4" w:themeColor="text2" w:themeTint="99"/>
          <w:bottom w:val="single" w:sz="18" w:space="1" w:color="548DD4" w:themeColor="text2" w:themeTint="99"/>
          <w:right w:val="single" w:sz="18" w:space="4" w:color="548DD4" w:themeColor="text2" w:themeTint="99"/>
        </w:pBdr>
        <w:rPr>
          <w:sz w:val="28"/>
          <w:lang w:val="uk-UA"/>
        </w:rPr>
      </w:pPr>
      <w:r>
        <w:rPr>
          <w:sz w:val="28"/>
          <w:lang w:val="uk-UA"/>
        </w:rPr>
        <w:t xml:space="preserve">2. Розділи пояснювальної записки ДП: розділ 1 (загальні положення), розділ 2 (інформаційне забезпечення), розділ 3 (математичне забезпечення) </w:t>
      </w:r>
      <w:r w:rsidR="00FE2938">
        <w:rPr>
          <w:sz w:val="28"/>
          <w:lang w:val="uk-UA"/>
        </w:rPr>
        <w:t>, розділ 4 (прог</w:t>
      </w:r>
      <w:r w:rsidR="006146F8">
        <w:rPr>
          <w:sz w:val="28"/>
          <w:lang w:val="uk-UA"/>
        </w:rPr>
        <w:t>рамне та технічне забезпечення – обсяг цього розділу не менше 50%</w:t>
      </w:r>
      <w:r w:rsidR="00FE2938">
        <w:rPr>
          <w:sz w:val="28"/>
          <w:lang w:val="uk-UA"/>
        </w:rPr>
        <w:t>)</w:t>
      </w:r>
    </w:p>
    <w:p w:rsidR="00447C35" w:rsidRDefault="00447C35">
      <w:pPr>
        <w:rPr>
          <w:sz w:val="28"/>
          <w:lang w:val="uk-UA"/>
        </w:rPr>
      </w:pPr>
    </w:p>
    <w:sectPr w:rsidR="00447C35" w:rsidSect="004362DB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8B"/>
    <w:rsid w:val="00083197"/>
    <w:rsid w:val="0027088B"/>
    <w:rsid w:val="004362DB"/>
    <w:rsid w:val="00447C35"/>
    <w:rsid w:val="006146F8"/>
    <w:rsid w:val="00806B99"/>
    <w:rsid w:val="00992B71"/>
    <w:rsid w:val="00D14EBC"/>
    <w:rsid w:val="00EC43DF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3</cp:revision>
  <dcterms:created xsi:type="dcterms:W3CDTF">2021-04-10T21:03:00Z</dcterms:created>
  <dcterms:modified xsi:type="dcterms:W3CDTF">2021-04-10T22:06:00Z</dcterms:modified>
</cp:coreProperties>
</file>