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8f4af41597f1fba05298642389a26e36b228d3"/>
    <w:p>
      <w:pPr>
        <w:pStyle w:val="Heading1"/>
      </w:pPr>
      <w:r>
        <w:t xml:space="preserve">Незалежна рецензія 4: українська академічна мова</w:t>
      </w:r>
    </w:p>
    <w:p>
      <w:pPr>
        <w:pStyle w:val="FirstParagraph"/>
      </w:pPr>
      <w:r>
        <w:rPr>
          <w:b/>
          <w:bCs/>
        </w:rPr>
        <w:t xml:space="preserve">Рукопис:</w:t>
      </w:r>
      <w:r>
        <w:t xml:space="preserve"> </w:t>
      </w:r>
      <w:r>
        <w:t xml:space="preserve">«Інформаційна технологія виявлення ознак аномального вмісту в мультимедійних даних вебсередовища»</w:t>
      </w:r>
    </w:p>
    <w:p>
      <w:pPr>
        <w:pStyle w:val="BodyText"/>
      </w:pPr>
      <w:r>
        <w:rPr>
          <w:b/>
          <w:bCs/>
        </w:rPr>
        <w:t xml:space="preserve">Незалежність:</w:t>
      </w:r>
      <w:r>
        <w:t xml:space="preserve"> </w:t>
      </w:r>
      <w:r>
        <w:t xml:space="preserve">перевірку виконано без ознайомлення з іншими рецензіями.</w:t>
      </w:r>
    </w:p>
    <w:bookmarkStart w:id="18" w:name="загальний-висновок"/>
    <w:p>
      <w:pPr>
        <w:pStyle w:val="Heading2"/>
      </w:pPr>
      <w:r>
        <w:t xml:space="preserve">Загальний висновок</w:t>
      </w:r>
    </w:p>
    <w:p>
      <w:pPr>
        <w:pStyle w:val="FirstParagraph"/>
      </w:pPr>
      <w:r>
        <w:t xml:space="preserve">Мовний рівень рукопису відповідає академічному викладові. Системної «води», розмовних конструкцій, англомовного або програмістського сленгу, штучного АІ-стилю й невиправданого повторювання слова «ефективність» не виявлено. Речення та абзаци утворюють послідовні логічні ланцюги, а висновки розділів відповідають основному викладові.</w:t>
      </w:r>
    </w:p>
    <w:bookmarkEnd w:id="18"/>
    <w:bookmarkStart w:id="19" w:name="підтверджені-виправлення"/>
    <w:p>
      <w:pPr>
        <w:pStyle w:val="Heading2"/>
      </w:pPr>
      <w:r>
        <w:t xml:space="preserve">Підтверджені виправлення</w:t>
      </w:r>
    </w:p>
    <w:p>
      <w:pPr>
        <w:pStyle w:val="Compact"/>
        <w:numPr>
          <w:ilvl w:val="0"/>
          <w:numId w:val="1001"/>
        </w:numPr>
      </w:pPr>
      <w:r>
        <w:t xml:space="preserve">Усунуто штучні складені назви на зразок «спектрально-зорові» та «подієво-поведінкові»; послідовно вжито «спектральні й зорові ознаки» та «ознаки подій і поведінки».</w:t>
      </w:r>
    </w:p>
    <w:p>
      <w:pPr>
        <w:pStyle w:val="Compact"/>
        <w:numPr>
          <w:ilvl w:val="0"/>
          <w:numId w:val="1001"/>
        </w:numPr>
      </w:pPr>
      <w:r>
        <w:t xml:space="preserve">«Фото- та відеооб’єкти вебресурсів» замінено на предметно точні формулювання про мультимедійні дані вебсередовища.</w:t>
      </w:r>
    </w:p>
    <w:p>
      <w:pPr>
        <w:pStyle w:val="Compact"/>
        <w:numPr>
          <w:ilvl w:val="0"/>
          <w:numId w:val="1001"/>
        </w:numPr>
      </w:pPr>
      <w:r>
        <w:t xml:space="preserve">Уніфіковано «супровідні відомості», «показники», «попереднє оброблення», «мультимедійні дані».</w:t>
      </w:r>
    </w:p>
    <w:p>
      <w:pPr>
        <w:pStyle w:val="Compact"/>
        <w:numPr>
          <w:ilvl w:val="0"/>
          <w:numId w:val="1001"/>
        </w:numPr>
      </w:pPr>
      <w:r>
        <w:t xml:space="preserve">Усунуто кальки «повнопакетний», «ін’єктувати відмову», «наскрізний канонічний експеримент», «поведінково-мультимодальний контур».</w:t>
      </w:r>
    </w:p>
    <w:p>
      <w:pPr>
        <w:pStyle w:val="Compact"/>
        <w:numPr>
          <w:ilvl w:val="0"/>
          <w:numId w:val="1001"/>
        </w:numPr>
      </w:pPr>
      <w:r>
        <w:t xml:space="preserve">Виправлено керування й синтаксичну однорідність у розділах 1–4, анотації та висновках.</w:t>
      </w:r>
    </w:p>
    <w:p>
      <w:pPr>
        <w:pStyle w:val="Compact"/>
        <w:numPr>
          <w:ilvl w:val="0"/>
          <w:numId w:val="1001"/>
        </w:numPr>
      </w:pPr>
      <w:r>
        <w:t xml:space="preserve">Переліки «Аномалією названо» і «Прихованим навантаженням названо» перетворено на звичайні академічні визначення без курсиву.</w:t>
      </w:r>
    </w:p>
    <w:p>
      <w:pPr>
        <w:pStyle w:val="Compact"/>
        <w:numPr>
          <w:ilvl w:val="0"/>
          <w:numId w:val="1001"/>
        </w:numPr>
      </w:pPr>
      <w:r>
        <w:t xml:space="preserve">Після формул додано необхідне абзацне відокремлення перед поясненнями «де».</w:t>
      </w:r>
    </w:p>
    <w:p>
      <w:pPr>
        <w:pStyle w:val="Compact"/>
        <w:numPr>
          <w:ilvl w:val="0"/>
          <w:numId w:val="1001"/>
        </w:numPr>
      </w:pPr>
      <w:r>
        <w:t xml:space="preserve">Назви моделі, двох методів та інформаційної технології узгоджено в анотаціях, вступі, основному тексті й висновках.</w:t>
      </w:r>
    </w:p>
    <w:bookmarkEnd w:id="19"/>
    <w:bookmarkStart w:id="20" w:name="термінологічні-рішення"/>
    <w:p>
      <w:pPr>
        <w:pStyle w:val="Heading2"/>
      </w:pPr>
      <w:r>
        <w:t xml:space="preserve">Термінологічні рішення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«Декодування» залишено.</w:t>
      </w:r>
      <w:r>
        <w:t xml:space="preserve"> </w:t>
      </w:r>
      <w:r>
        <w:t xml:space="preserve">Це нормативний і точний технічний термін для перетворення закодованих мультимедійних даних у придатне для аналізу представлення. Глобальна заміна на «розкодування» не потрібна.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«Вебсередовище» пишеться разом.</w:t>
      </w:r>
      <w:r>
        <w:t xml:space="preserve"> </w:t>
      </w:r>
      <w:r>
        <w:t xml:space="preserve">У рукописі це правило дотримано послідовно.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«Ефективність» не використовується як порожня оцінка.</w:t>
      </w:r>
      <w:r>
        <w:t xml:space="preserve"> </w:t>
      </w:r>
      <w:r>
        <w:t xml:space="preserve">Переважно наведено конкретні показники якості, часу, пам’яті й помилок; слово збережено лише там, де воно є частиною усталеного терміна.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Англійська лексика обмежена нормативними скороченнями, офіційними назвами форматів, публікацій та англомовною анотацією.</w:t>
      </w:r>
    </w:p>
    <w:bookmarkEnd w:id="20"/>
    <w:bookmarkStart w:id="21" w:name="залишкові-мовні-застереження"/>
    <w:p>
      <w:pPr>
        <w:pStyle w:val="Heading2"/>
      </w:pPr>
      <w:r>
        <w:t xml:space="preserve">Залишкові мовні застереження</w:t>
      </w:r>
    </w:p>
    <w:p>
      <w:pPr>
        <w:pStyle w:val="FirstParagraph"/>
      </w:pPr>
      <w:r>
        <w:t xml:space="preserve">Межі доказів повторюються у вступі, розділах 3–4 й загальних висновках. Це збільшує обсяг метатексту, проте в поточній роботі повторення виконує захисну функцію: не дозволяє приписати формальній моделі або скороченій конфігурації сильніший експериментальний статус. Додаткове скорочення без змістового перегляду не рекомендується.</w:t>
      </w:r>
    </w:p>
    <w:p>
      <w:pPr>
        <w:pStyle w:val="BodyText"/>
      </w:pPr>
      <w:r>
        <w:rPr>
          <w:b/>
          <w:bCs/>
        </w:rPr>
        <w:t xml:space="preserve">Вердикт:</w:t>
      </w:r>
      <w:r>
        <w:t xml:space="preserve"> </w:t>
      </w:r>
      <w:r>
        <w:t xml:space="preserve">критичних або важливих мовних вад не залишилося; текст придатний до академічного подання після звичайної авторської вичитки власних назв і документальних реквізитів.</w:t>
      </w:r>
    </w:p>
    <w:bookmarkEnd w:id="21"/>
    <w:bookmarkEnd w:id="22"/>
    <w:sectPr w:rsidR="00FC693F" w:rsidRPr="0006063C" w:rsidSect="00034616">
      <w:footerReference r:id="rId9" w:type="default"/>
      <w:pgSz w:h="16838" w:w="11906"/>
      <w:pgMar w:bottom="1134" w:footer="567" w:gutter="0" w:header="567" w:left="1701" w:right="850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imes New Roman" w:cs="Times New Roman" w:eastAsia="Times New Roman" w:hAnsi="Times New Roman"/>
      <w:color w:val="000000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360" w:before="0" w:line="276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276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 w:line="276" w:lineRule="auto"/>
      <w:ind w:firstLine="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ind w:firstLine="0"/>
      <w:jc w:val="left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cs="Times New Roman" w:eastAsia="Times New Roman" w:hAnsi="Times New Roman"/>
      <w:color w:val="00000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imes New Roman" w:cs="Times New Roman" w:eastAsia="Times New Roman" w:hAnsi="Times New Roman"/>
      <w:color w:val="000000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cs="Times New Roman" w:eastAsia="Times New Roman" w:hAnsi="Times New Roman"/>
      <w:color w:val="000000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imes New Roman" w:cs="Times New Roman" w:eastAsia="Times New Roman" w:hAnsi="Times New Roman"/>
      <w:color w:val="000000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color w:val="000000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imes New Roman" w:cs="Times New Roman" w:eastAsia="Times New Roman" w:hAnsi="Times New Roman"/>
      <w:color w:val="000000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imes New Roman" w:cs="Times New Roman" w:eastAsia="Times New Roman" w:hAnsi="Times New Roman"/>
      <w:color w:val="000000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imes New Roman" w:cs="Times New Roman" w:eastAsia="Times New Roman" w:hAnsi="Times New Roman"/>
      <w:color w:val="000000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imes New Roman" w:cs="Times New Roman" w:eastAsia="Times New Roman" w:hAnsi="Times New Roman"/>
      <w:color w:val="000000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cs="Times New Roman" w:eastAsia="Times New Roman" w:hAnsi="Times New Roman"/>
      <w:color w:val="000000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cs="Times New Roman" w:eastAsia="Times New Roman" w:hAnsi="Times New Roman"/>
      <w:color w:val="000000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cs="Times New Roman" w:eastAsia="Times New Roman" w:hAnsi="Times New Roman"/>
      <w:color w:val="000000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imes New Roman" w:cs="Times New Roman" w:eastAsia="Times New Roman" w:hAnsi="Times New Roman"/>
      <w:color w:val="000000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imes New Roman" w:cs="Times New Roman" w:eastAsia="Times New Roman" w:hAnsi="Times New Roman"/>
      <w:color w:val="000000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imes New Roman" w:cs="Times New Roman" w:eastAsia="Times New Roman" w:hAnsi="Times New Roman"/>
      <w:i/>
      <w:iCs/>
      <w:color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imes New Roman" w:cs="Times New Roman" w:eastAsia="Times New Roman" w:hAnsi="Times New Roman"/>
      <w:i/>
      <w:iCs/>
      <w:color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60" w:line="240" w:lineRule="auto"/>
      <w:ind w:firstLine="0"/>
      <w:jc w:val="center"/>
    </w:pPr>
    <w:rPr>
      <w:rFonts w:ascii="Times New Roman" w:cs="Times New Roman" w:eastAsia="Times New Roman" w:hAnsi="Times New Roman"/>
      <w:b w:val="0"/>
      <w:bCs/>
      <w:color w:val="000000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Times New Roman" w:cs="Times New Roman" w:eastAsia="Times New Roman" w:hAnsi="Times New Roman"/>
      <w:b/>
      <w:bCs/>
      <w:color w:val="000000"/>
    </w:rPr>
  </w:style>
  <w:style w:styleId="Emphasis" w:type="character">
    <w:name w:val="Emphasis"/>
    <w:basedOn w:val="DefaultParagraphFont"/>
    <w:uiPriority w:val="20"/>
    <w:qFormat/>
    <w:rsid w:val="00FC693F"/>
    <w:rPr>
      <w:rFonts w:ascii="Times New Roman" w:cs="Times New Roman" w:eastAsia="Times New Roman" w:hAnsi="Times New Roman"/>
      <w:i/>
      <w:iCs/>
      <w:color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rFonts w:ascii="Times New Roman" w:cs="Times New Roman" w:eastAsia="Times New Roman" w:hAnsi="Times New Roman"/>
      <w:b/>
      <w:bCs/>
      <w:i/>
      <w:iCs/>
      <w:color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imes New Roman" w:cs="Times New Roman" w:eastAsia="Times New Roman" w:hAnsi="Times New Roman"/>
      <w:b/>
      <w:bCs/>
      <w:i/>
      <w:iCs/>
      <w:color w:val="000000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imes New Roman" w:cs="Times New Roman" w:eastAsia="Times New Roman" w:hAnsi="Times New Roman"/>
      <w:i/>
      <w:iCs/>
      <w:color w:val="00000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imes New Roman" w:cs="Times New Roman" w:eastAsia="Times New Roman" w:hAnsi="Times New Roman"/>
      <w:b/>
      <w:bCs/>
      <w:i/>
      <w:iCs/>
      <w:color w:val="000000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imes New Roman" w:cs="Times New Roman" w:eastAsia="Times New Roman" w:hAnsi="Times New Roman"/>
      <w:smallCaps/>
      <w:color w:val="000000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imes New Roman" w:cs="Times New Roman" w:eastAsia="Times New Roman" w:hAnsi="Times New Roman"/>
      <w:b/>
      <w:bCs/>
      <w:smallCaps/>
      <w:color w:val="000000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imes New Roman" w:cs="Times New Roman" w:eastAsia="Times New Roman" w:hAnsi="Times New Roman"/>
      <w:b/>
      <w:bCs/>
      <w:smallCaps/>
      <w:color w:val="000000"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cs="Times New Roman" w:eastAsia="Times New Roman" w:hAnsi="Times New Roman"/>
      <w:color w:val="000000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BlockText" w:type="paragraph">
    <w:name w:val="Block Text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1"/>
    </w:rPr>
  </w:style>
  <w:style w:customStyle="1" w:styleId="Table" w:type="table">
    <w:name w:val="Table"/>
    <w:rPr>
      <w:rFonts w:ascii="Times New Roman" w:cs="Times New Roman" w:eastAsia="Times New Roman" w:hAnsi="Times New Roman"/>
      <w:color w:val="000000"/>
      <w:sz w:val="21"/>
    </w:rPr>
  </w:style>
  <w:style w:customStyle="1" w:styleId="Bibliography" w:type="paragraph">
    <w:name w:val="Bibliography"/>
    <w:pPr>
      <w:spacing w:after="60" w:before="0" w:line="240" w:lineRule="auto"/>
      <w:ind w:firstLine="0" w:left="0"/>
    </w:pPr>
    <w:rPr>
      <w:rFonts w:ascii="Times New Roman" w:cs="Times New Roman" w:eastAsia="Times New Roman" w:hAnsi="Times New Roman"/>
      <w:color w:val="000000"/>
      <w:sz w:val="24"/>
    </w:rPr>
  </w:style>
  <w:style w:customStyle="1" w:styleId="Hyperlink" w:type="character">
    <w:name w:val="Hyperlink"/>
    <w:rPr>
      <w:rFonts w:ascii="Times New Roman" w:cs="Times New Roman" w:eastAsia="Times New Roman" w:hAnsi="Times New Roman"/>
      <w:color w:val="000000"/>
      <w:u w:val="none"/>
    </w:rPr>
  </w:style>
  <w:style w:customStyle="1" w:styleId="FollowedHyperlink" w:type="character">
    <w:name w:val="Followed Hyperlink"/>
    <w:rPr>
      <w:rFonts w:ascii="Times New Roman" w:cs="Times New Roman" w:eastAsia="Times New Roman" w:hAnsi="Times New Roman"/>
      <w:color w:val="000000"/>
      <w:u w:val="none"/>
    </w:rPr>
  </w:style>
  <w:style w:customStyle="1" w:styleId="SectionNumber" w:type="character">
    <w:name w:val="Section Number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2026-08-23T16:09:09Z</dcterms:created>
  <dcterms:modified xsi:type="dcterms:W3CDTF">2026-08-23T16:09:09Z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