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eb5f0cf55883f2ca3bfad1d55bba95704068f06"/>
    <w:p>
      <w:pPr>
        <w:pStyle w:val="Heading1"/>
      </w:pPr>
      <w:r>
        <w:t xml:space="preserve">Незалежна рецензія 5: інтегральна оцінка дисертації</w:t>
      </w:r>
    </w:p>
    <w:p>
      <w:pPr>
        <w:pStyle w:val="FirstParagraph"/>
      </w:pPr>
      <w:r>
        <w:rPr>
          <w:b/>
          <w:bCs/>
        </w:rPr>
        <w:t xml:space="preserve">Рукопис:</w:t>
      </w:r>
      <w:r>
        <w:t xml:space="preserve"> </w:t>
      </w:r>
      <w:r>
        <w:t xml:space="preserve">«Інформаційна технологія виявлення ознак аномального вмісту в мультимедійних даних вебсередовища»</w:t>
      </w:r>
    </w:p>
    <w:p>
      <w:pPr>
        <w:pStyle w:val="BodyText"/>
      </w:pPr>
      <w:r>
        <w:rPr>
          <w:b/>
          <w:bCs/>
        </w:rPr>
        <w:t xml:space="preserve">Незалежність:</w:t>
      </w:r>
      <w:r>
        <w:t xml:space="preserve"> </w:t>
      </w:r>
      <w:r>
        <w:t xml:space="preserve">інтегральну рецензію виконано без читання чотирьох спеціалізованих рецензій.</w:t>
      </w:r>
    </w:p>
    <w:bookmarkStart w:id="18" w:name="загальний-висновок"/>
    <w:p>
      <w:pPr>
        <w:pStyle w:val="Heading2"/>
      </w:pPr>
      <w:r>
        <w:t xml:space="preserve">Загальний висновок</w:t>
      </w:r>
    </w:p>
    <w:p>
      <w:pPr>
        <w:pStyle w:val="FirstParagraph"/>
      </w:pPr>
      <w:r>
        <w:t xml:space="preserve">Рукопис є цілісною дисертаційною роботою за конструкцією:</w:t>
      </w:r>
    </w:p>
    <w:p>
      <w:pPr>
        <w:pStyle w:val="BodyText"/>
      </w:pPr>
      <w:r>
        <w:rPr>
          <w:rStyle w:val="VerbatimChar"/>
        </w:rPr>
        <w:t xml:space="preserve">актуальність → мета → 8 завдань → модель → 2 методи → інформаційна технологія → експериментальні дослідження → 8 загальних висновків</w:t>
      </w:r>
      <w:r>
        <w:t xml:space="preserve">.</w:t>
      </w:r>
    </w:p>
    <w:p>
      <w:pPr>
        <w:pStyle w:val="BodyText"/>
      </w:pPr>
      <w:r>
        <w:t xml:space="preserve">Розділи виконують різні функції: розділ 1 формує прогалину, розділ 2 — модель, розділ 3 — два методи й технологію, розділ 4 — перевірку доступних конфігурацій і меж застосовності. Робота має достатній обсяг, формули, алгоритми, схеми входів і виходів, таблиці результатів та явні негативні результати.</w:t>
      </w:r>
    </w:p>
    <w:bookmarkEnd w:id="18"/>
    <w:bookmarkStart w:id="19" w:name="X6e2bed1c0594166f60890f8b40ed60398d01093"/>
    <w:p>
      <w:pPr>
        <w:pStyle w:val="Heading2"/>
      </w:pPr>
      <w:r>
        <w:t xml:space="preserve">Що вже дозволяє називати рукопис дисертацією</w:t>
      </w:r>
    </w:p>
    <w:p>
      <w:pPr>
        <w:pStyle w:val="Compact"/>
        <w:numPr>
          <w:ilvl w:val="0"/>
          <w:numId w:val="1001"/>
        </w:numPr>
      </w:pPr>
      <w:r>
        <w:t xml:space="preserve">Є одна узгоджена тема й чітко визначена наукова задача.</w:t>
      </w:r>
    </w:p>
    <w:p>
      <w:pPr>
        <w:pStyle w:val="Compact"/>
        <w:numPr>
          <w:ilvl w:val="0"/>
          <w:numId w:val="1001"/>
        </w:numPr>
      </w:pPr>
      <w:r>
        <w:t xml:space="preserve">Мета, предмет, методи дослідження, завдання, новизна, практичне значення та висновки не суперечать одне одному.</w:t>
      </w:r>
    </w:p>
    <w:p>
      <w:pPr>
        <w:pStyle w:val="Compact"/>
        <w:numPr>
          <w:ilvl w:val="0"/>
          <w:numId w:val="1001"/>
        </w:numPr>
      </w:pPr>
      <w:r>
        <w:t xml:space="preserve">Модель і два методи мають власні формальні відображення, вхідні й вихідні дані.</w:t>
      </w:r>
    </w:p>
    <w:p>
      <w:pPr>
        <w:pStyle w:val="Compact"/>
        <w:numPr>
          <w:ilvl w:val="0"/>
          <w:numId w:val="1001"/>
        </w:numPr>
      </w:pPr>
      <w:r>
        <w:t xml:space="preserve">Кожний метод викладено більш ніж на десяти сторінках і доповнено алгоритмом або формальною процедурою.</w:t>
      </w:r>
    </w:p>
    <w:p>
      <w:pPr>
        <w:pStyle w:val="Compact"/>
        <w:numPr>
          <w:ilvl w:val="0"/>
          <w:numId w:val="1001"/>
        </w:numPr>
      </w:pPr>
      <w:r>
        <w:t xml:space="preserve">Експериментальний розділ містить внутрішню, зовнішні, контрольні та ресурсну серії, а також аудит технологічних станів.</w:t>
      </w:r>
    </w:p>
    <w:p>
      <w:pPr>
        <w:pStyle w:val="Compact"/>
        <w:numPr>
          <w:ilvl w:val="0"/>
          <w:numId w:val="1001"/>
        </w:numPr>
      </w:pPr>
      <w:r>
        <w:t xml:space="preserve">Результати не подано сильніше, ніж дозволяють дані: структурна ознака не прирівнюється до доведеної загрози, а локальний прототип — до промислової системи.</w:t>
      </w:r>
    </w:p>
    <w:p>
      <w:pPr>
        <w:pStyle w:val="Compact"/>
        <w:numPr>
          <w:ilvl w:val="0"/>
          <w:numId w:val="1001"/>
        </w:numPr>
      </w:pPr>
      <w:r>
        <w:t xml:space="preserve">Усі ключові рисунки й потоки даних узгоджені з текстом.</w:t>
      </w:r>
    </w:p>
    <w:bookmarkEnd w:id="19"/>
    <w:bookmarkStart w:id="20" w:name="головний-внутрішній-науковий-гейт"/>
    <w:p>
      <w:pPr>
        <w:pStyle w:val="Heading2"/>
      </w:pPr>
      <w:r>
        <w:t xml:space="preserve">Головний внутрішній науковий гейт</w:t>
      </w:r>
    </w:p>
    <w:p>
      <w:pPr>
        <w:pStyle w:val="FirstParagraph"/>
      </w:pPr>
      <w:r>
        <w:t xml:space="preserve">Повний другий метод ще не підтверджено на причинно пов’язаних журналах. Наявна скорочена модель узгоджує статичні оцінки й не реалізує повного представлення ознак подій і поведінки. Саме це, а не обсяг або стиль, є головним запитанням потенційного опонента.</w:t>
      </w:r>
    </w:p>
    <w:p>
      <w:pPr>
        <w:pStyle w:val="BodyText"/>
      </w:pPr>
      <w:r>
        <w:t xml:space="preserve">Допустимі два шляхи:</w:t>
      </w:r>
    </w:p>
    <w:p>
      <w:pPr>
        <w:pStyle w:val="Compact"/>
        <w:numPr>
          <w:ilvl w:val="0"/>
          <w:numId w:val="1002"/>
        </w:numPr>
      </w:pPr>
      <w:r>
        <w:t xml:space="preserve">виконати мінімальний завершений експеримент повного другого методу;</w:t>
      </w:r>
    </w:p>
    <w:p>
      <w:pPr>
        <w:pStyle w:val="Compact"/>
        <w:numPr>
          <w:ilvl w:val="0"/>
          <w:numId w:val="1002"/>
        </w:numPr>
      </w:pPr>
      <w:r>
        <w:t xml:space="preserve">або офіційно звузити відповідні формулювання завдання, новизни та висновку до фактично перевіреного рівня.</w:t>
      </w:r>
    </w:p>
    <w:bookmarkEnd w:id="20"/>
    <w:bookmarkStart w:id="21" w:name="інші-доказові-межі"/>
    <w:p>
      <w:pPr>
        <w:pStyle w:val="Heading2"/>
      </w:pPr>
      <w:r>
        <w:t xml:space="preserve">Інші доказові межі</w:t>
      </w:r>
    </w:p>
    <w:p>
      <w:pPr>
        <w:pStyle w:val="Compact"/>
        <w:numPr>
          <w:ilvl w:val="0"/>
          <w:numId w:val="1003"/>
        </w:numPr>
      </w:pPr>
      <w:r>
        <w:t xml:space="preserve">Історичний перший метод не відтворюється тотожно від початкового файла через відсутність первинного спектрального екстрактора.</w:t>
      </w:r>
    </w:p>
    <w:p>
      <w:pPr>
        <w:pStyle w:val="Compact"/>
        <w:numPr>
          <w:ilvl w:val="0"/>
          <w:numId w:val="1003"/>
        </w:numPr>
      </w:pPr>
      <w:r>
        <w:t xml:space="preserve">Внутрішня серія на 400 об’єктах не має повного сирого пооб’єктного пакета; її матричну арифметику перевірено, але AUC, довірчі інтервали й часові розподіли залишаються збереженими підсумками.</w:t>
      </w:r>
    </w:p>
    <w:p>
      <w:pPr>
        <w:pStyle w:val="Compact"/>
        <w:numPr>
          <w:ilvl w:val="0"/>
          <w:numId w:val="1003"/>
        </w:numPr>
      </w:pPr>
      <w:r>
        <w:t xml:space="preserve">Структурна гілка чутлива до допустимих приватних розширень контейнерів і потребує експертного тлумачення.</w:t>
      </w:r>
    </w:p>
    <w:p>
      <w:pPr>
        <w:pStyle w:val="Compact"/>
        <w:numPr>
          <w:ilvl w:val="0"/>
          <w:numId w:val="1003"/>
        </w:numPr>
      </w:pPr>
      <w:r>
        <w:t xml:space="preserve">Повний промисловий контур, зовнішні дії, розподілена черга, реконструкція й тривале навантаження не перевірялися.</w:t>
      </w:r>
    </w:p>
    <w:bookmarkEnd w:id="21"/>
    <w:bookmarkStart w:id="22" w:name="зовнішні-гейти-перед-офіційним-поданням"/>
    <w:p>
      <w:pPr>
        <w:pStyle w:val="Heading2"/>
      </w:pPr>
      <w:r>
        <w:t xml:space="preserve">Зовнішні гейти перед офіційним поданням</w:t>
      </w:r>
    </w:p>
    <w:p>
      <w:pPr>
        <w:pStyle w:val="Compact"/>
        <w:numPr>
          <w:ilvl w:val="0"/>
          <w:numId w:val="1004"/>
        </w:numPr>
      </w:pPr>
      <w:r>
        <w:t xml:space="preserve">Затвердження нової теми й офіційних реквізитів.</w:t>
      </w:r>
    </w:p>
    <w:p>
      <w:pPr>
        <w:pStyle w:val="Compact"/>
        <w:numPr>
          <w:ilvl w:val="0"/>
          <w:numId w:val="1004"/>
        </w:numPr>
      </w:pPr>
      <w:r>
        <w:t xml:space="preserve">Перевірка зараховуваних публікацій.</w:t>
      </w:r>
    </w:p>
    <w:p>
      <w:pPr>
        <w:pStyle w:val="Compact"/>
        <w:numPr>
          <w:ilvl w:val="0"/>
          <w:numId w:val="1004"/>
        </w:numPr>
      </w:pPr>
      <w:r>
        <w:t xml:space="preserve">Погоджений особистий внесок у співавторських працях.</w:t>
      </w:r>
    </w:p>
    <w:p>
      <w:pPr>
        <w:pStyle w:val="Compact"/>
        <w:numPr>
          <w:ilvl w:val="0"/>
          <w:numId w:val="1004"/>
        </w:numPr>
      </w:pPr>
      <w:r>
        <w:t xml:space="preserve">Документальна матриця відповідності новизни публікаціям.</w:t>
      </w:r>
    </w:p>
    <w:p>
      <w:pPr>
        <w:pStyle w:val="Compact"/>
        <w:numPr>
          <w:ilvl w:val="0"/>
          <w:numId w:val="1004"/>
        </w:numPr>
      </w:pPr>
      <w:r>
        <w:t xml:space="preserve">Підтвердження апробації, академічної доброчесності й інших вимог установи.</w:t>
      </w:r>
    </w:p>
    <w:p>
      <w:pPr>
        <w:pStyle w:val="Compact"/>
        <w:numPr>
          <w:ilvl w:val="0"/>
          <w:numId w:val="1004"/>
        </w:numPr>
      </w:pPr>
      <w:r>
        <w:t xml:space="preserve">Останнє оновлення полів і змісту в Microsoft Word.</w:t>
      </w:r>
    </w:p>
    <w:bookmarkEnd w:id="22"/>
    <w:bookmarkStart w:id="23" w:name="вердикт"/>
    <w:p>
      <w:pPr>
        <w:pStyle w:val="Heading2"/>
      </w:pPr>
      <w:r>
        <w:t xml:space="preserve">Вердикт</w:t>
      </w:r>
    </w:p>
    <w:p>
      <w:pPr>
        <w:pStyle w:val="FirstParagraph"/>
      </w:pPr>
      <w:r>
        <w:rPr>
          <w:b/>
          <w:bCs/>
        </w:rPr>
        <w:t xml:space="preserve">До внутрішнього передзахисту:</w:t>
      </w:r>
      <w:r>
        <w:t xml:space="preserve"> </w:t>
      </w:r>
      <w:r>
        <w:t xml:space="preserve">так, умовно готова.</w:t>
      </w:r>
    </w:p>
    <w:p>
      <w:pPr>
        <w:pStyle w:val="BodyText"/>
      </w:pPr>
      <w:r>
        <w:rPr>
          <w:b/>
          <w:bCs/>
        </w:rPr>
        <w:t xml:space="preserve">До остаточного офіційного захисту:</w:t>
      </w:r>
      <w:r>
        <w:t xml:space="preserve"> </w:t>
      </w:r>
      <w:r>
        <w:t xml:space="preserve">ще ні, доки не закрито повний другий метод або не звужено його статус і не завершено зовнішні документальні процедури.</w:t>
      </w:r>
    </w:p>
    <w:p>
      <w:pPr>
        <w:pStyle w:val="BodyText"/>
      </w:pPr>
      <w:r>
        <w:t xml:space="preserve">Ключова оцінка: це вже дисертаційно організований, мовно й формально опрацьований рукопис. Подальша якість визначатиметься не додаванням сторінок, а закриттям одного наукового й кількох документальних гейтів.</w:t>
      </w:r>
    </w:p>
    <w:bookmarkEnd w:id="23"/>
    <w:bookmarkEnd w:id="24"/>
    <w:sectPr w:rsidR="00FC693F" w:rsidRPr="0006063C" w:rsidSect="00034616">
      <w:footerReference r:id="rId9" w:type="default"/>
      <w:pgSz w:h="16838" w:w="11906"/>
      <w:pgMar w:bottom="1134" w:footer="567" w:gutter="0" w:header="567" w:left="1701" w:right="850" w:top="1134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color w:val="000000"/>
        <w:sz w:val="2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Times New Roman" w:cs="Times New Roman" w:eastAsia="Times New Roman" w:hAnsi="Times New Roman"/>
      <w:color w:val="000000"/>
    </w:rPr>
  </w:style>
  <w:style w:customStyle="1" w:styleId="HeaderChar" w:type="character">
    <w:name w:val="Header Char"/>
    <w:basedOn w:val="DefaultParagraphFont"/>
    <w:link w:val="Header"/>
    <w:uiPriority w:val="99"/>
    <w:rsid w:val="00E618BF"/>
    <w:rPr>
      <w:rFonts w:ascii="Times New Roman" w:cs="Times New Roman" w:eastAsia="Times New Roman" w:hAnsi="Times New Roman"/>
      <w:color w:val="000000"/>
    </w:rPr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Times New Roman" w:cs="Times New Roman" w:eastAsia="Times New Roman" w:hAnsi="Times New Roman"/>
      <w:color w:val="000000"/>
    </w:rPr>
  </w:style>
  <w:style w:customStyle="1" w:styleId="FooterChar" w:type="character">
    <w:name w:val="Footer Char"/>
    <w:basedOn w:val="DefaultParagraphFont"/>
    <w:link w:val="Footer"/>
    <w:uiPriority w:val="99"/>
    <w:rsid w:val="00E618BF"/>
    <w:rPr>
      <w:rFonts w:ascii="Times New Roman" w:cs="Times New Roman" w:eastAsia="Times New Roman" w:hAnsi="Times New Roman"/>
      <w:color w:val="000000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360" w:before="0" w:line="276" w:lineRule="auto"/>
      <w:ind w:firstLine="0"/>
      <w:jc w:val="center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 w:line="276" w:lineRule="auto"/>
      <w:ind w:firstLine="0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00" w:line="276" w:lineRule="auto"/>
      <w:ind w:firstLine="0"/>
      <w:jc w:val="left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 w:line="276" w:lineRule="auto"/>
      <w:ind w:firstLine="0"/>
      <w:jc w:val="left"/>
      <w:outlineLvl w:val="3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/>
      <w:iCs/>
      <w:color w:val="000000"/>
      <w:sz w:val="28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="Times New Roman" w:asciiTheme="majorHAnsi" w:cs="Times New Roman" w:cstheme="majorBidi" w:eastAsia="Times New Roman" w:eastAsiaTheme="majorEastAsia" w:hAnsi="Times New Roman" w:hAnsiTheme="majorHAnsi"/>
      <w:color w:val="00000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="Times New Roman" w:asciiTheme="majorHAnsi" w:cs="Times New Roman" w:cstheme="majorBidi" w:eastAsia="Times New Roman" w:eastAsiaTheme="majorEastAsia" w:hAnsi="Times New Roman" w:hAnsiTheme="majorHAnsi"/>
      <w:i/>
      <w:iCs/>
      <w:color w:val="00000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="Times New Roman" w:asciiTheme="majorHAnsi" w:cs="Times New Roman" w:cstheme="majorBidi" w:eastAsia="Times New Roman" w:eastAsiaTheme="majorEastAsia" w:hAnsi="Times New Roman" w:hAnsiTheme="majorHAnsi"/>
      <w:i/>
      <w:iCs/>
      <w:color w:val="00000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="Times New Roman" w:asciiTheme="majorHAnsi" w:cs="Times New Roman" w:cstheme="majorBidi" w:eastAsia="Times New Roman" w:eastAsiaTheme="majorEastAsia" w:hAnsi="Times New Roman" w:hAnsiTheme="majorHAnsi"/>
      <w:color w:val="000000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="Times New Roman" w:asciiTheme="majorHAnsi" w:cs="Times New Roman" w:cstheme="majorBidi" w:eastAsia="Times New Roman" w:eastAsiaTheme="majorEastAsia" w:hAnsi="Times New Roman" w:hAnsiTheme="majorHAnsi"/>
      <w:i/>
      <w:iCs/>
      <w:color w:val="00000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  <w:rPr>
      <w:rFonts w:ascii="Times New Roman" w:cs="Times New Roman" w:eastAsia="Times New Roman" w:hAnsi="Times New Roman"/>
      <w:color w:val="000000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  <w:rPr>
      <w:rFonts w:ascii="Times New Roman" w:cs="Times New Roman" w:eastAsia="Times New Roman" w:hAnsi="Times New Roman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ind w:firstLine="0"/>
      <w:contextualSpacing/>
      <w:jc w:val="center"/>
    </w:pPr>
    <w:rPr>
      <w:rFonts w:ascii="Times New Roman" w:asciiTheme="majorHAnsi" w:cs="Times New Roman" w:cstheme="majorBidi" w:eastAsia="Times New Roman" w:eastAsiaTheme="majorEastAsia" w:hAnsi="Times New Roman" w:hAnsiTheme="majorHAnsi"/>
      <w:b/>
      <w:color w:val="000000"/>
      <w:spacing w:val="5"/>
      <w:kern w:val="28"/>
      <w:sz w:val="2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="Times New Roman" w:asciiTheme="majorHAnsi" w:cs="Times New Roman" w:cstheme="majorBidi" w:eastAsia="Times New Roman" w:eastAsiaTheme="majorEastAsia" w:hAnsi="Times New Roman" w:hAnsiTheme="majorHAnsi"/>
      <w:color w:val="000000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asciiTheme="majorHAnsi" w:cs="Times New Roman" w:cstheme="majorBidi" w:eastAsia="Times New Roman" w:eastAsiaTheme="majorEastAsia" w:hAnsi="Times New Roman" w:hAnsiTheme="majorHAnsi"/>
      <w:i/>
      <w:iCs/>
      <w:color w:val="000000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="Times New Roman" w:asciiTheme="majorHAnsi" w:cs="Times New Roman" w:cstheme="majorBidi" w:eastAsia="Times New Roman" w:eastAsiaTheme="majorEastAsia" w:hAnsi="Times New Roman" w:hAnsiTheme="majorHAnsi"/>
      <w:i/>
      <w:iCs/>
      <w:color w:val="000000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cs="Times New Roman" w:eastAsia="Times New Roman" w:hAnsi="Times New Roman"/>
      <w:color w:val="000000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  <w:rPr>
      <w:rFonts w:ascii="Times New Roman" w:cs="Times New Roman" w:eastAsia="Times New Roman" w:hAnsi="Times New Roman"/>
      <w:color w:val="000000"/>
    </w:rPr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cs="Times New Roman" w:eastAsia="Times New Roman" w:hAnsi="Times New Roman"/>
      <w:color w:val="000000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  <w:rPr>
      <w:rFonts w:ascii="Times New Roman" w:cs="Times New Roman" w:eastAsia="Times New Roman" w:hAnsi="Times New Roman"/>
      <w:color w:val="000000"/>
    </w:rPr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cs="Times New Roman" w:eastAsia="Times New Roman" w:hAnsi="Times New Roman"/>
      <w:color w:val="000000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ascii="Times New Roman" w:cs="Times New Roman" w:eastAsia="Times New Roman" w:hAnsi="Times New Roman"/>
      <w:color w:val="000000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  <w:rPr>
      <w:rFonts w:ascii="Times New Roman" w:cs="Times New Roman" w:eastAsia="Times New Roman" w:hAnsi="Times New Roman"/>
      <w:color w:val="000000"/>
    </w:r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  <w:rPr>
      <w:rFonts w:ascii="Times New Roman" w:cs="Times New Roman" w:eastAsia="Times New Roman" w:hAnsi="Times New Roman"/>
      <w:color w:val="000000"/>
    </w:r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  <w:rPr>
      <w:rFonts w:ascii="Times New Roman" w:cs="Times New Roman" w:eastAsia="Times New Roman" w:hAnsi="Times New Roman"/>
      <w:color w:val="000000"/>
    </w:r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cs="Times New Roman" w:eastAsia="Times New Roman" w:hAnsi="Times New Roman"/>
      <w:color w:val="000000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cs="Times New Roman" w:eastAsia="Times New Roman" w:hAnsi="Times New Roman"/>
      <w:color w:val="000000"/>
    </w:r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cs="Times New Roman" w:eastAsia="Times New Roman" w:hAnsi="Times New Roman"/>
      <w:color w:val="000000"/>
    </w:r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cs="Times New Roman" w:eastAsia="Times New Roman" w:hAnsi="Times New Roman"/>
      <w:color w:val="000000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cs="Times New Roman" w:eastAsia="Times New Roman" w:hAnsi="Times New Roman"/>
      <w:color w:val="000000"/>
    </w:r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cs="Times New Roman" w:eastAsia="Times New Roman" w:hAnsi="Times New Roman"/>
      <w:color w:val="000000"/>
    </w:r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cs="Times New Roman" w:eastAsia="Times New Roman" w:hAnsi="Times New Roman"/>
      <w:color w:val="000000"/>
    </w:r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cs="Times New Roman" w:eastAsia="Times New Roman" w:hAnsi="Times New Roman"/>
      <w:color w:val="000000"/>
    </w:r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cs="Times New Roman" w:eastAsia="Times New Roman" w:hAnsi="Times New Roman"/>
      <w:color w:val="000000"/>
    </w:r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Times New Roman" w:cs="Times New Roman" w:eastAsia="Times New Roman" w:hAnsi="Times New Roman"/>
      <w:color w:val="000000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Times New Roman" w:cs="Times New Roman" w:eastAsia="Times New Roman" w:hAnsi="Times New Roman"/>
      <w:color w:val="000000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rFonts w:ascii="Times New Roman" w:cs="Times New Roman" w:eastAsia="Times New Roman" w:hAnsi="Times New Roman"/>
      <w:i/>
      <w:iCs/>
      <w:color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ascii="Times New Roman" w:cs="Times New Roman" w:eastAsia="Times New Roman" w:hAnsi="Times New Roman"/>
      <w:i/>
      <w:iCs/>
      <w:color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="Times New Roman" w:asciiTheme="majorHAnsi" w:cs="Times New Roman" w:cstheme="majorBidi" w:eastAsia="Times New Roman" w:eastAsiaTheme="majorEastAsia" w:hAnsi="Times New Roman" w:hAnsiTheme="majorHAnsi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="Times New Roman" w:asciiTheme="majorHAnsi" w:cs="Times New Roman" w:cstheme="majorBidi" w:eastAsia="Times New Roman" w:eastAsiaTheme="majorEastAsia" w:hAnsi="Times New Roman" w:hAnsiTheme="majorHAnsi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="Times New Roman" w:asciiTheme="majorHAnsi" w:cs="Times New Roman" w:cstheme="majorBidi" w:eastAsia="Times New Roman" w:eastAsiaTheme="majorEastAsia" w:hAnsi="Times New Roman" w:hAnsiTheme="majorHAnsi"/>
      <w:i/>
      <w:iCs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="Times New Roman" w:asciiTheme="majorHAnsi" w:cs="Times New Roman" w:cstheme="majorBidi" w:eastAsia="Times New Roman" w:eastAsiaTheme="majorEastAsia" w:hAnsi="Times New Roman" w:hAnsiTheme="majorHAnsi"/>
      <w:color w:val="000000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="Times New Roman" w:asciiTheme="majorHAnsi" w:cs="Times New Roman" w:cstheme="majorBidi" w:eastAsia="Times New Roman" w:eastAsiaTheme="majorEastAsia" w:hAnsi="Times New Roman" w:hAnsiTheme="majorHAnsi"/>
      <w:i/>
      <w:iCs/>
      <w:color w:val="00000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before="60" w:line="240" w:lineRule="auto"/>
      <w:ind w:firstLine="0"/>
      <w:jc w:val="center"/>
    </w:pPr>
    <w:rPr>
      <w:rFonts w:ascii="Times New Roman" w:cs="Times New Roman" w:eastAsia="Times New Roman" w:hAnsi="Times New Roman"/>
      <w:b w:val="0"/>
      <w:bCs/>
      <w:color w:val="000000"/>
      <w:sz w:val="24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ascii="Times New Roman" w:cs="Times New Roman" w:eastAsia="Times New Roman" w:hAnsi="Times New Roman"/>
      <w:b/>
      <w:bCs/>
      <w:color w:val="000000"/>
    </w:rPr>
  </w:style>
  <w:style w:styleId="Emphasis" w:type="character">
    <w:name w:val="Emphasis"/>
    <w:basedOn w:val="DefaultParagraphFont"/>
    <w:uiPriority w:val="20"/>
    <w:qFormat/>
    <w:rsid w:val="00FC693F"/>
    <w:rPr>
      <w:rFonts w:ascii="Times New Roman" w:cs="Times New Roman" w:eastAsia="Times New Roman" w:hAnsi="Times New Roman"/>
      <w:i/>
      <w:iCs/>
      <w:color w:val="00000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spacing w:after="280" w:before="200"/>
      <w:ind w:left="936" w:right="936"/>
    </w:pPr>
    <w:rPr>
      <w:rFonts w:ascii="Times New Roman" w:cs="Times New Roman" w:eastAsia="Times New Roman" w:hAnsi="Times New Roman"/>
      <w:b/>
      <w:bCs/>
      <w:i/>
      <w:iCs/>
      <w:color w:val="000000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ascii="Times New Roman" w:cs="Times New Roman" w:eastAsia="Times New Roman" w:hAnsi="Times New Roman"/>
      <w:b/>
      <w:bCs/>
      <w:i/>
      <w:iCs/>
      <w:color w:val="000000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ascii="Times New Roman" w:cs="Times New Roman" w:eastAsia="Times New Roman" w:hAnsi="Times New Roman"/>
      <w:i/>
      <w:iCs/>
      <w:color w:val="00000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ascii="Times New Roman" w:cs="Times New Roman" w:eastAsia="Times New Roman" w:hAnsi="Times New Roman"/>
      <w:b/>
      <w:bCs/>
      <w:i/>
      <w:iCs/>
      <w:color w:val="000000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ascii="Times New Roman" w:cs="Times New Roman" w:eastAsia="Times New Roman" w:hAnsi="Times New Roman"/>
      <w:smallCaps/>
      <w:color w:val="000000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ascii="Times New Roman" w:cs="Times New Roman" w:eastAsia="Times New Roman" w:hAnsi="Times New Roman"/>
      <w:b/>
      <w:bCs/>
      <w:smallCaps/>
      <w:color w:val="000000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ascii="Times New Roman" w:cs="Times New Roman" w:eastAsia="Times New Roman" w:hAnsi="Times New Roman"/>
      <w:b/>
      <w:bCs/>
      <w:smallCaps/>
      <w:color w:val="000000"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cs="Times New Roman" w:eastAsia="Times New Roman" w:hAnsi="Times New Roman"/>
      <w:color w:val="000000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customStyle="1" w:styleId="BlockText" w:type="paragraph">
    <w:name w:val="Block Text"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customStyle="1" w:styleId="Compact" w:type="paragraph">
    <w:name w:val="Compact"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color w:val="000000"/>
      <w:sz w:val="21"/>
    </w:rPr>
  </w:style>
  <w:style w:customStyle="1" w:styleId="Table" w:type="table">
    <w:name w:val="Table"/>
    <w:rPr>
      <w:rFonts w:ascii="Times New Roman" w:cs="Times New Roman" w:eastAsia="Times New Roman" w:hAnsi="Times New Roman"/>
      <w:color w:val="000000"/>
      <w:sz w:val="21"/>
    </w:rPr>
  </w:style>
  <w:style w:customStyle="1" w:styleId="Bibliography" w:type="paragraph">
    <w:name w:val="Bibliography"/>
    <w:pPr>
      <w:spacing w:after="60" w:before="0" w:line="240" w:lineRule="auto"/>
      <w:ind w:firstLine="0" w:left="0"/>
    </w:pPr>
    <w:rPr>
      <w:rFonts w:ascii="Times New Roman" w:cs="Times New Roman" w:eastAsia="Times New Roman" w:hAnsi="Times New Roman"/>
      <w:color w:val="000000"/>
      <w:sz w:val="24"/>
    </w:rPr>
  </w:style>
  <w:style w:customStyle="1" w:styleId="Hyperlink" w:type="character">
    <w:name w:val="Hyperlink"/>
    <w:rPr>
      <w:rFonts w:ascii="Times New Roman" w:cs="Times New Roman" w:eastAsia="Times New Roman" w:hAnsi="Times New Roman"/>
      <w:color w:val="000000"/>
      <w:u w:val="none"/>
    </w:rPr>
  </w:style>
  <w:style w:customStyle="1" w:styleId="FollowedHyperlink" w:type="character">
    <w:name w:val="Followed Hyperlink"/>
    <w:rPr>
      <w:rFonts w:ascii="Times New Roman" w:cs="Times New Roman" w:eastAsia="Times New Roman" w:hAnsi="Times New Roman"/>
      <w:color w:val="000000"/>
      <w:u w:val="none"/>
    </w:rPr>
  </w:style>
  <w:style w:customStyle="1" w:styleId="SectionNumber" w:type="character">
    <w:name w:val="Section Number"/>
    <w:rPr>
      <w:rFonts w:ascii="Times New Roman" w:cs="Times New Roman" w:eastAsia="Times New Roman" w:hAnsi="Times New Roman"/>
      <w:color w:val="000000"/>
    </w:rPr>
  </w:style>
  <w:style w:customStyle="1" w:styleId="VerbatimChar" w:type="character">
    <w:name w:val="Verbatim Char"/>
    <w:rPr>
      <w:rFonts w:ascii="Times New Roman" w:cs="Times New Roman" w:eastAsia="Times New Roman" w:hAnsi="Times New Roman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2026-08-23T16:09:10Z</dcterms:created>
  <dcterms:modified xsi:type="dcterms:W3CDTF">2026-08-23T16:09:10Z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