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зведення-пяти-незалежних-рецензій"/>
    <w:p>
      <w:pPr>
        <w:pStyle w:val="Heading1"/>
      </w:pPr>
      <w:r>
        <w:t xml:space="preserve">Зведення п’яти незалежних рецензій</w:t>
      </w:r>
    </w:p>
    <w:bookmarkStart w:id="18" w:name="підсумковий-вердикт"/>
    <w:p>
      <w:pPr>
        <w:pStyle w:val="Heading2"/>
      </w:pPr>
      <w:r>
        <w:t xml:space="preserve">Підсумковий вердикт</w:t>
      </w:r>
    </w:p>
    <w:p>
      <w:pPr>
        <w:pStyle w:val="FirstParagraph"/>
      </w:pPr>
      <w:r>
        <w:t xml:space="preserve">П’ять незалежних рецензентів підтвердили, що рукопис має повноцінну дисертаційну структуру й може бути винесений на внутрішній передзахист із чітко оголошеними межами доказів. Редакційні, мовні та формально-технічні блокери попередньої версії усунено.</w:t>
      </w:r>
    </w:p>
    <w:p>
      <w:pPr>
        <w:pStyle w:val="BodyText"/>
      </w:pPr>
      <w:r>
        <w:t xml:space="preserve">До остаточного офіційного захисту робота ще не готова через один внутрішній науковий гейт — відсутність повної емпіричної перевірки другого методу — та зовнішні документальні процедури, які автор свідомо відтермінував.</w:t>
      </w:r>
    </w:p>
    <w:bookmarkEnd w:id="18"/>
    <w:bookmarkStart w:id="19" w:name="консенсус"/>
    <w:p>
      <w:pPr>
        <w:pStyle w:val="Heading2"/>
      </w:pPr>
      <w:r>
        <w:t xml:space="preserve">Консенсус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Питання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Збіг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Конструкція «модель + два методи + технологія»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Реально присутня й наскрізно узгоджена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Обсяг двох методів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Достатній: 17 і 16 сторінок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Українська академічна мова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Критичних вад і системного сленгу немає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Формули, алгоритми, рисунки й таблиці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Узгоджені; технічні дефекти фінального пакета усунено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Повний другий 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Формалізований, але емпірично не замкнений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Наскрізна відтворюваність першого методу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Історично неповна через відсутній первинний екстрактор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Наукова новизна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Внутрішньо сформована; потребує конкретизації найближчих аналогів і документальної опори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Готовність до внутрішнього передзахисту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Умовно готова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Готовність до остаточного захисту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5/5</w:t>
            </w:r>
          </w:p>
        </w:tc>
        <w:tc>
          <w:tcPr/>
          <w:p>
            <w:pPr>
              <w:pStyle w:val="Compact"/>
            </w:pPr>
            <w:r>
              <w:t xml:space="preserve">Поки не підтверджена</w:t>
            </w:r>
          </w:p>
        </w:tc>
      </w:tr>
    </w:tbl>
    <w:bookmarkEnd w:id="19"/>
    <w:bookmarkStart w:id="20" w:name="що-закрито-в-поточному-проході"/>
    <w:p>
      <w:pPr>
        <w:pStyle w:val="Heading2"/>
      </w:pPr>
      <w:r>
        <w:t xml:space="preserve">Що закрито в поточному проході</w:t>
      </w:r>
    </w:p>
    <w:p>
      <w:pPr>
        <w:pStyle w:val="Compact"/>
        <w:numPr>
          <w:ilvl w:val="0"/>
          <w:numId w:val="1001"/>
        </w:numPr>
      </w:pPr>
      <w:r>
        <w:t xml:space="preserve">Назву змінено й узгоджено українською та англійською.</w:t>
      </w:r>
    </w:p>
    <w:p>
      <w:pPr>
        <w:pStyle w:val="Compact"/>
        <w:numPr>
          <w:ilvl w:val="0"/>
          <w:numId w:val="1001"/>
        </w:numPr>
      </w:pPr>
      <w:r>
        <w:t xml:space="preserve">Анотацію, вступ, розділи 1–4 і висновки приведено до чистого українського академічного стилю.</w:t>
      </w:r>
    </w:p>
    <w:p>
      <w:pPr>
        <w:pStyle w:val="Compact"/>
        <w:numPr>
          <w:ilvl w:val="0"/>
          <w:numId w:val="1001"/>
        </w:numPr>
      </w:pPr>
      <w:r>
        <w:t xml:space="preserve">Уніфіковано терміни та вилучено штучні складені слова, програмістський і АІ-сленг.</w:t>
      </w:r>
    </w:p>
    <w:p>
      <w:pPr>
        <w:pStyle w:val="Compact"/>
        <w:numPr>
          <w:ilvl w:val="0"/>
          <w:numId w:val="1001"/>
        </w:numPr>
      </w:pPr>
      <w:r>
        <w:t xml:space="preserve">Скориговано причинний допуск кореневої події, структурну маску, оцінку складності DCT і формулювання групового поділу.</w:t>
      </w:r>
    </w:p>
    <w:p>
      <w:pPr>
        <w:pStyle w:val="Compact"/>
        <w:numPr>
          <w:ilvl w:val="0"/>
          <w:numId w:val="1001"/>
        </w:numPr>
      </w:pPr>
      <w:r>
        <w:t xml:space="preserve">Алгоритм 3.2 відформатовано без переповнення сторінки.</w:t>
      </w:r>
    </w:p>
    <w:p>
      <w:pPr>
        <w:pStyle w:val="Compact"/>
        <w:numPr>
          <w:ilvl w:val="0"/>
          <w:numId w:val="1001"/>
        </w:numPr>
      </w:pPr>
      <w:r>
        <w:t xml:space="preserve">PDF має 204 сторінки A4, правильні гіперпосилання змісту та не містить нерозв’язаних посилань.</w:t>
      </w:r>
    </w:p>
    <w:p>
      <w:pPr>
        <w:pStyle w:val="Compact"/>
        <w:numPr>
          <w:ilvl w:val="0"/>
          <w:numId w:val="1001"/>
        </w:numPr>
      </w:pPr>
      <w:r>
        <w:t xml:space="preserve">DOCX має визначені стилі, коректні таблиці, видимий зміст, горизонтальну таблицю А.1, очищені властивості й результат 89/89 перевірок.</w:t>
      </w:r>
    </w:p>
    <w:p>
      <w:pPr>
        <w:pStyle w:val="Compact"/>
        <w:numPr>
          <w:ilvl w:val="0"/>
          <w:numId w:val="1001"/>
        </w:numPr>
      </w:pPr>
      <w:r>
        <w:t xml:space="preserve">Титульну сторінку узгоджено з чинним зразком університету.</w:t>
      </w:r>
    </w:p>
    <w:bookmarkEnd w:id="20"/>
    <w:bookmarkStart w:id="23" w:name="що-залишилося-поза-редакційним-проходом"/>
    <w:p>
      <w:pPr>
        <w:pStyle w:val="Heading2"/>
      </w:pPr>
      <w:r>
        <w:t xml:space="preserve">Що залишилося поза редакційним проходом</w:t>
      </w:r>
    </w:p>
    <w:bookmarkStart w:id="21" w:name="внутрішній-науковий-гейт"/>
    <w:p>
      <w:pPr>
        <w:pStyle w:val="Heading3"/>
      </w:pPr>
      <w:r>
        <w:t xml:space="preserve">Внутрішній науковий гейт</w:t>
      </w:r>
    </w:p>
    <w:p>
      <w:pPr>
        <w:pStyle w:val="FirstParagraph"/>
      </w:pPr>
      <w:r>
        <w:t xml:space="preserve">Потрібно або реалізувати й перевірити повний метод поведінкового узгодження на причинно пов’язаних журналах, або звузити його заявлений статус до фактично підтвердженого рівня.</w:t>
      </w:r>
    </w:p>
    <w:bookmarkEnd w:id="21"/>
    <w:bookmarkStart w:id="22" w:name="зовнішні-документальні-гейти"/>
    <w:p>
      <w:pPr>
        <w:pStyle w:val="Heading3"/>
      </w:pPr>
      <w:r>
        <w:t xml:space="preserve">Зовнішні документальні гейти</w:t>
      </w:r>
    </w:p>
    <w:p>
      <w:pPr>
        <w:pStyle w:val="Compact"/>
        <w:numPr>
          <w:ilvl w:val="0"/>
          <w:numId w:val="1002"/>
        </w:numPr>
      </w:pPr>
      <w:r>
        <w:t xml:space="preserve">офіційне затвердження теми та реквізитів;</w:t>
      </w:r>
    </w:p>
    <w:p>
      <w:pPr>
        <w:pStyle w:val="Compact"/>
        <w:numPr>
          <w:ilvl w:val="0"/>
          <w:numId w:val="1002"/>
        </w:numPr>
      </w:pPr>
      <w:r>
        <w:t xml:space="preserve">аудит зараховуваних публікацій;</w:t>
      </w:r>
    </w:p>
    <w:p>
      <w:pPr>
        <w:pStyle w:val="Compact"/>
        <w:numPr>
          <w:ilvl w:val="0"/>
          <w:numId w:val="1002"/>
        </w:numPr>
      </w:pPr>
      <w:r>
        <w:t xml:space="preserve">довідки про особистий внесок;</w:t>
      </w:r>
    </w:p>
    <w:p>
      <w:pPr>
        <w:pStyle w:val="Compact"/>
        <w:numPr>
          <w:ilvl w:val="0"/>
          <w:numId w:val="1002"/>
        </w:numPr>
      </w:pPr>
      <w:r>
        <w:t xml:space="preserve">остаточна матриця «новизна → публікація → сторінки → експеримент → внесок»;</w:t>
      </w:r>
    </w:p>
    <w:p>
      <w:pPr>
        <w:pStyle w:val="Compact"/>
        <w:numPr>
          <w:ilvl w:val="0"/>
          <w:numId w:val="1002"/>
        </w:numPr>
      </w:pPr>
      <w:r>
        <w:t xml:space="preserve">документи щодо апробації, доброчесності та впровадження за вимогами установи;</w:t>
      </w:r>
    </w:p>
    <w:p>
      <w:pPr>
        <w:pStyle w:val="Compact"/>
        <w:numPr>
          <w:ilvl w:val="0"/>
          <w:numId w:val="1002"/>
        </w:numPr>
      </w:pPr>
      <w:r>
        <w:t xml:space="preserve">оновлення всіх полів у Microsoft Word і повторна перевірка змісту.</w:t>
      </w:r>
    </w:p>
    <w:bookmarkEnd w:id="22"/>
    <w:bookmarkEnd w:id="23"/>
    <w:bookmarkStart w:id="24" w:name="остаточна-оцінка"/>
    <w:p>
      <w:pPr>
        <w:pStyle w:val="Heading2"/>
      </w:pPr>
      <w:r>
        <w:t xml:space="preserve">Остаточна оцінка</w:t>
      </w:r>
    </w:p>
    <w:p>
      <w:pPr>
        <w:pStyle w:val="FirstParagraph"/>
      </w:pPr>
      <w:r>
        <w:t xml:space="preserve">Це вже дисертація за науковою композицією, формальним апаратом і рівнем викладу. Коректний статус на сьогодні:</w:t>
      </w:r>
      <w:r>
        <w:t xml:space="preserve"> </w:t>
      </w:r>
      <w:r>
        <w:rPr>
          <w:b/>
          <w:bCs/>
        </w:rPr>
        <w:t xml:space="preserve">завершений редакційно й формально дисертаційний рукопис, умовно готовий до внутрішнього передзахисту</w:t>
      </w:r>
      <w:r>
        <w:t xml:space="preserve">. Статус повністю готової до офіційного захисту роботи настане лише після закриття повного другого методу або звуження відповідних тверджень і завершення документальних процедур.</w:t>
      </w:r>
    </w:p>
    <w:bookmarkEnd w:id="24"/>
    <w:bookmarkEnd w:id="25"/>
    <w:sectPr w:rsidR="00FC693F" w:rsidRPr="0006063C" w:rsidSect="00034616">
      <w:footerReference r:id="rId9" w:type="default"/>
      <w:pgSz w:h="16838" w:w="11906"/>
      <w:pgMar w:bottom="1134" w:footer="567" w:gutter="0" w:header="567" w:left="1701" w:right="850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Times New Roman" w:cs="Times New Roman" w:eastAsia="Times New Roman" w:hAnsi="Times New Roman"/>
      <w:color w:val="000000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360" w:before="0" w:line="276" w:lineRule="auto"/>
      <w:ind w:firstLine="0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76" w:lineRule="auto"/>
      <w:ind w:firstLine="0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76" w:lineRule="auto"/>
      <w:ind w:firstLine="0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ind w:firstLine="0"/>
      <w:jc w:val="left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ind w:firstLine="0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Times New Roman" w:cs="Times New Roman" w:eastAsia="Times New Roman" w:hAnsi="Times New Roman"/>
      <w:color w:val="000000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cs="Times New Roman" w:eastAsia="Times New Roman" w:hAnsi="Times New Roman"/>
      <w:color w:val="000000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Times New Roman" w:cs="Times New Roman" w:eastAsia="Times New Roman" w:hAnsi="Times New Roman"/>
      <w:color w:val="000000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cs="Times New Roman" w:eastAsia="Times New Roman" w:hAnsi="Times New Roman"/>
      <w:color w:val="000000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Times New Roman" w:cs="Times New Roman" w:eastAsia="Times New Roman" w:hAnsi="Times New Roman"/>
      <w:color w:val="000000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rFonts w:ascii="Times New Roman" w:cs="Times New Roman" w:eastAsia="Times New Roman" w:hAnsi="Times New Roman"/>
      <w:color w:val="000000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rFonts w:ascii="Times New Roman" w:cs="Times New Roman" w:eastAsia="Times New Roman" w:hAnsi="Times New Roman"/>
      <w:color w:val="000000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rFonts w:ascii="Times New Roman" w:cs="Times New Roman" w:eastAsia="Times New Roman" w:hAnsi="Times New Roman"/>
      <w:color w:val="000000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cs="Times New Roman" w:eastAsia="Times New Roman" w:hAnsi="Times New Roman"/>
      <w:color w:val="000000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cs="Times New Roman" w:eastAsia="Times New Roman" w:hAnsi="Times New Roman"/>
      <w:color w:val="000000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cs="Times New Roman" w:eastAsia="Times New Roman" w:hAnsi="Times New Roman"/>
      <w:color w:val="000000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Times New Roman" w:cs="Times New Roman" w:eastAsia="Times New Roman" w:hAnsi="Times New Roman"/>
      <w:color w:val="000000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Times New Roman" w:cs="Times New Roman" w:eastAsia="Times New Roman" w:hAnsi="Times New Roman"/>
      <w:color w:val="000000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Times New Roman" w:cs="Times New Roman" w:eastAsia="Times New Roman" w:hAnsi="Times New Roman"/>
      <w:i/>
      <w:iCs/>
      <w:color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before="60" w:line="240" w:lineRule="auto"/>
      <w:ind w:firstLine="0"/>
      <w:jc w:val="center"/>
    </w:pPr>
    <w:rPr>
      <w:rFonts w:ascii="Times New Roman" w:cs="Times New Roman" w:eastAsia="Times New Roman" w:hAnsi="Times New Roman"/>
      <w:b w:val="0"/>
      <w:bCs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ascii="Times New Roman" w:cs="Times New Roman" w:eastAsia="Times New Roman" w:hAnsi="Times New Roman"/>
      <w:b/>
      <w:bCs/>
      <w:color w:val="000000"/>
    </w:rPr>
  </w:style>
  <w:style w:styleId="Emphasis" w:type="character">
    <w:name w:val="Emphasis"/>
    <w:basedOn w:val="DefaultParagraphFont"/>
    <w:uiPriority w:val="20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rFonts w:ascii="Times New Roman" w:cs="Times New Roman" w:eastAsia="Times New Roman" w:hAnsi="Times New Roman"/>
      <w:b/>
      <w:bCs/>
      <w:i/>
      <w:iCs/>
      <w:color w:val="000000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Times New Roman" w:cs="Times New Roman" w:eastAsia="Times New Roman" w:hAnsi="Times New Roman"/>
      <w:b/>
      <w:bCs/>
      <w:i/>
      <w:iCs/>
      <w:color w:val="000000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Times New Roman" w:cs="Times New Roman" w:eastAsia="Times New Roman" w:hAnsi="Times New Roman"/>
      <w:b/>
      <w:bCs/>
      <w:i/>
      <w:iCs/>
      <w:color w:val="000000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Times New Roman" w:cs="Times New Roman" w:eastAsia="Times New Roman" w:hAnsi="Times New Roman"/>
      <w:smallCaps/>
      <w:color w:val="000000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Times New Roman" w:cs="Times New Roman" w:eastAsia="Times New Roman" w:hAnsi="Times New Roman"/>
      <w:b/>
      <w:bCs/>
      <w:smallCaps/>
      <w:color w:val="000000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ascii="Times New Roman" w:cs="Times New Roman" w:eastAsia="Times New Roman" w:hAnsi="Times New Roman"/>
      <w:b/>
      <w:bCs/>
      <w:smallCaps/>
      <w:color w:val="000000"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cs="Times New Roman" w:eastAsia="Times New Roman" w:hAnsi="Times New Roman"/>
      <w:color w:val="000000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BlockText" w:type="paragraph">
    <w:name w:val="Block Text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Compact" w:type="paragraph">
    <w:name w:val="Compact"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1"/>
    </w:rPr>
  </w:style>
  <w:style w:customStyle="1" w:styleId="Table" w:type="table">
    <w:name w:val="Table"/>
    <w:rPr>
      <w:rFonts w:ascii="Times New Roman" w:cs="Times New Roman" w:eastAsia="Times New Roman" w:hAnsi="Times New Roman"/>
      <w:color w:val="000000"/>
      <w:sz w:val="21"/>
    </w:rPr>
  </w:style>
  <w:style w:customStyle="1" w:styleId="Bibliography" w:type="paragraph">
    <w:name w:val="Bibliography"/>
    <w:pPr>
      <w:spacing w:after="60" w:before="0" w:line="240" w:lineRule="auto"/>
      <w:ind w:firstLine="0" w:left="0"/>
    </w:pPr>
    <w:rPr>
      <w:rFonts w:ascii="Times New Roman" w:cs="Times New Roman" w:eastAsia="Times New Roman" w:hAnsi="Times New Roman"/>
      <w:color w:val="000000"/>
      <w:sz w:val="24"/>
    </w:rPr>
  </w:style>
  <w:style w:customStyle="1" w:styleId="Hyperlink" w:type="character">
    <w:name w:val="Hyperlink"/>
    <w:rPr>
      <w:rFonts w:ascii="Times New Roman" w:cs="Times New Roman" w:eastAsia="Times New Roman" w:hAnsi="Times New Roman"/>
      <w:color w:val="000000"/>
      <w:u w:val="none"/>
    </w:rPr>
  </w:style>
  <w:style w:customStyle="1" w:styleId="FollowedHyperlink" w:type="character">
    <w:name w:val="Followed Hyperlink"/>
    <w:rPr>
      <w:rFonts w:ascii="Times New Roman" w:cs="Times New Roman" w:eastAsia="Times New Roman" w:hAnsi="Times New Roman"/>
      <w:color w:val="000000"/>
      <w:u w:val="none"/>
    </w:rPr>
  </w:style>
  <w:style w:customStyle="1" w:styleId="SectionNumber" w:type="character">
    <w:name w:val="Section Number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rPr>
      <w:rFonts w:ascii="Times New Roman" w:cs="Times New Roman" w:eastAsia="Times New Roman" w:hAnsi="Times New Roman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2026-08-23T16:09:10Z</dcterms:created>
  <dcterms:modified xsi:type="dcterms:W3CDTF">2026-08-23T16:09:10Z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