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3026d24565e767e51631da19d42b9a612c0bfcc"/>
    <w:p>
      <w:pPr>
        <w:pStyle w:val="Heading1"/>
      </w:pPr>
      <w:r>
        <w:t xml:space="preserve">Незалежна рецензія № 1: методологія, експериментальний дизайн і відтворюваність</w:t>
      </w:r>
    </w:p>
    <w:bookmarkStart w:id="9" w:name="матеріали-та-межі-рецензування"/>
    <w:p>
      <w:pPr>
        <w:pStyle w:val="Heading2"/>
      </w:pPr>
      <w:r>
        <w:t xml:space="preserve">Матеріали та межі рецензування</w:t>
      </w:r>
    </w:p>
    <w:p>
      <w:pPr>
        <w:pStyle w:val="FirstParagraph"/>
      </w:pPr>
      <w:r>
        <w:t xml:space="preserve">Рецензію підготовлено незалежно за актуальною редакцією дисертації «Інформаційна технологія виявлення аномальних кодів у фото- та відеооб’єктах вебресурсів» (</w:t>
      </w:r>
      <w:r>
        <w:rPr>
          <w:rStyle w:val="VerbatimChar"/>
        </w:rPr>
        <w:t xml:space="preserve">dissertation_reviewed.pdf</w:t>
      </w:r>
      <w:r>
        <w:t xml:space="preserve">, 176 сторінок) та вихідними файлами</w:t>
      </w:r>
      <w:r>
        <w:t xml:space="preserve"> </w:t>
      </w:r>
      <w:r>
        <w:rPr>
          <w:rStyle w:val="VerbatimChar"/>
        </w:rPr>
        <w:t xml:space="preserve">main.tex</w:t>
      </w:r>
      <w:r>
        <w:t xml:space="preserve">,</w:t>
      </w:r>
      <w:r>
        <w:t xml:space="preserve"> </w:t>
      </w:r>
      <w:r>
        <w:rPr>
          <w:rStyle w:val="VerbatimChar"/>
        </w:rPr>
        <w:t xml:space="preserve">intro.tex</w:t>
      </w:r>
      <w:r>
        <w:t xml:space="preserve">,</w:t>
      </w:r>
      <w:r>
        <w:t xml:space="preserve"> </w:t>
      </w:r>
      <w:r>
        <w:rPr>
          <w:rStyle w:val="VerbatimChar"/>
        </w:rPr>
        <w:t xml:space="preserve">chapter_1.tex</w:t>
      </w:r>
      <w:r>
        <w:t xml:space="preserve">–</w:t>
      </w:r>
      <w:r>
        <w:rPr>
          <w:rStyle w:val="VerbatimChar"/>
        </w:rPr>
        <w:t xml:space="preserve">chapter_4.tex</w:t>
      </w:r>
      <w:r>
        <w:t xml:space="preserve">,</w:t>
      </w:r>
      <w:r>
        <w:t xml:space="preserve"> </w:t>
      </w:r>
      <w:r>
        <w:rPr>
          <w:rStyle w:val="VerbatimChar"/>
        </w:rPr>
        <w:t xml:space="preserve">conclusions.tex</w:t>
      </w:r>
      <w:r>
        <w:t xml:space="preserve">. Інші рецензії та файли</w:t>
      </w:r>
      <w:r>
        <w:t xml:space="preserve"> </w:t>
      </w:r>
      <w:r>
        <w:rPr>
          <w:rStyle w:val="VerbatimChar"/>
        </w:rPr>
        <w:t xml:space="preserve">review_*.md</w:t>
      </w:r>
      <w:r>
        <w:t xml:space="preserve"> </w:t>
      </w:r>
      <w:r>
        <w:t xml:space="preserve">не використовувалися. Змін до дисертації не вносилося.</w:t>
      </w:r>
    </w:p>
    <w:p>
      <w:pPr>
        <w:pStyle w:val="BodyText"/>
      </w:pPr>
      <w:r>
        <w:t xml:space="preserve">Основний фокус: валідність конструкта, експериментальний дизайн, статистична коректність, незалежність спостережень, відтворюваність коду й конфігурацій та відповідність висновків фактично одержаним даним.</w:t>
      </w:r>
    </w:p>
    <w:bookmarkEnd w:id="9"/>
    <w:bookmarkStart w:id="10" w:name="резюме-та-загальна-оцінка"/>
    <w:p>
      <w:pPr>
        <w:pStyle w:val="Heading2"/>
      </w:pPr>
      <w:r>
        <w:t xml:space="preserve">Резюме та загальна оцінка</w:t>
      </w:r>
    </w:p>
    <w:p>
      <w:pPr>
        <w:pStyle w:val="FirstParagraph"/>
      </w:pPr>
      <w:r>
        <w:t xml:space="preserve">Робота пропонує формальну мультимодальну схему аналізу мультимедійних об’єктів, двогілковий статичний метод, формалізований метод поведінкового узгодження та п’ятиетапний інформаційний процес. Експериментальна частина містить внутрішню синтетичну серію, кілька зовнішніх серій на природних відеозаписах, багатоформатні похідні, окрему перевірку навчуваного шлюзу, ресурсне випробування та ретроспективний аудит попереднього прогону.</w:t>
      </w:r>
    </w:p>
    <w:p>
      <w:pPr>
        <w:pStyle w:val="BodyText"/>
      </w:pPr>
      <w:r>
        <w:t xml:space="preserve">Сильною рисою рукопису є незвично чітке визнання меж доказів: автор не прирівнює контрольовану зміну до виконуваного шкідливого коду, не приховує негативного перенесення спектральної гілки, розрізняє формалізовані й експериментально перевірені складники та прямо зазначає залежність тисяч похідних об’єктів від малої кількості джерел. Водночас ці чесно описані межі залишаються настільки суттєвими, що центральна назва та частина положень новизни емпірично підтверджені лише опосередковано. На цьому етапі результати переконливо характеризують виявлення наперед заданих структурних і піксельних втручань у конкретному дослідному конвеєрі, але не повну технологію виявлення аномальних кодів у вебресурсах.</w:t>
      </w:r>
    </w:p>
    <w:p>
      <w:pPr>
        <w:pStyle w:val="BodyText"/>
      </w:pPr>
      <w:r>
        <w:rPr>
          <w:b/>
          <w:bCs/>
        </w:rPr>
        <w:t xml:space="preserve">Загальна рекомендація: суттєве доопрацювання з повторною методологічною експертизою.</w:t>
      </w:r>
      <w:r>
        <w:t xml:space="preserve"> </w:t>
      </w:r>
      <w:r>
        <w:t xml:space="preserve">До захисту в поточній редакції роботу рекомендувати передчасно. Найкритичніші умови допуску: узгодження конструкта з назвою і висновками; оприлюднення відтворюваного пакета; коректна кластерна статистика на рівні пристроїв/джерел; перевірка того, що спектральне втручання реально зберігається після кодування; та емпірична оцінка хоча б ключових властивостей повного методу або істотне звуження заявленого внеску.</w:t>
      </w:r>
    </w:p>
    <w:bookmarkEnd w:id="10"/>
    <w:bookmarkStart w:id="11" w:name="сильні-сторони"/>
    <w:p>
      <w:pPr>
        <w:pStyle w:val="Heading2"/>
      </w:pPr>
      <w:r>
        <w:t xml:space="preserve">Сильні сторони</w:t>
      </w:r>
    </w:p>
    <w:p>
      <w:pPr>
        <w:pStyle w:val="Compact"/>
        <w:numPr>
          <w:ilvl w:val="0"/>
          <w:numId w:val="1001"/>
        </w:numPr>
      </w:pPr>
      <w:r>
        <w:rPr>
          <w:b/>
          <w:bCs/>
        </w:rPr>
        <w:t xml:space="preserve">Доказова дисципліна.</w:t>
      </w:r>
      <w:r>
        <w:t xml:space="preserve"> </w:t>
      </w:r>
      <w:r>
        <w:t xml:space="preserve">У вступі, розділі 4 та загальних висновках послідовно відокремлено формалізовані положення від перевірених і неперевірених (с. 21–22, 113–117, 146, 150–156).</w:t>
      </w:r>
    </w:p>
    <w:p>
      <w:pPr>
        <w:pStyle w:val="Compact"/>
        <w:numPr>
          <w:ilvl w:val="0"/>
          <w:numId w:val="1001"/>
        </w:numPr>
      </w:pPr>
      <w:r>
        <w:rPr>
          <w:b/>
          <w:bCs/>
        </w:rPr>
        <w:t xml:space="preserve">Груповий поділ внутрішніх даних.</w:t>
      </w:r>
      <w:r>
        <w:t xml:space="preserve"> </w:t>
      </w:r>
      <w:r>
        <w:t xml:space="preserve">Контрольні й змінені версії одного базового вмісту залишалися в одній частині; навчання, налаштування порога й тестування розділено (с. 117–118, 123–124).</w:t>
      </w:r>
    </w:p>
    <w:p>
      <w:pPr>
        <w:pStyle w:val="Compact"/>
        <w:numPr>
          <w:ilvl w:val="0"/>
          <w:numId w:val="1001"/>
        </w:numPr>
      </w:pPr>
      <w:r>
        <w:rPr>
          <w:b/>
          <w:bCs/>
        </w:rPr>
        <w:t xml:space="preserve">Збереження негативних результатів.</w:t>
      </w:r>
      <w:r>
        <w:t xml:space="preserve"> </w:t>
      </w:r>
      <w:r>
        <w:t xml:space="preserve">Рукопис не приховує, що спектрально-зорова гілка на природних MP4 працювала майже випадково і що навчуваний шлюз не виявив жодної з 500 суто спектральних змін незалежної серії (с. 135–140).</w:t>
      </w:r>
    </w:p>
    <w:p>
      <w:pPr>
        <w:pStyle w:val="Compact"/>
        <w:numPr>
          <w:ilvl w:val="0"/>
          <w:numId w:val="1001"/>
        </w:numPr>
      </w:pPr>
      <w:r>
        <w:rPr>
          <w:b/>
          <w:bCs/>
        </w:rPr>
        <w:t xml:space="preserve">Повніші за звичайні класифікаційні підсумки.</w:t>
      </w:r>
      <w:r>
        <w:t xml:space="preserve"> </w:t>
      </w:r>
      <w:r>
        <w:t xml:space="preserve">Подано матриці помилок, повноту, специфічність, збалансовану правильність,</w:t>
      </w:r>
      <w:r>
        <w:t xml:space="preserve"> </w:t>
      </w:r>
      <m:oMath>
        <m:sSub>
          <m:e>
            <m:r>
              <m:t>F</m:t>
            </m:r>
          </m:e>
          <m:sub>
            <m:r>
              <m:t>1</m:t>
            </m:r>
          </m:sub>
        </m:sSub>
      </m:oMath>
      <w:r>
        <w:t xml:space="preserve">, AUC там, де збережено неперервні оцінки, та ресурсні показники (с. 124–145).</w:t>
      </w:r>
    </w:p>
    <w:p>
      <w:pPr>
        <w:pStyle w:val="Compact"/>
        <w:numPr>
          <w:ilvl w:val="0"/>
          <w:numId w:val="1001"/>
        </w:numPr>
      </w:pPr>
      <w:r>
        <w:rPr>
          <w:b/>
          <w:bCs/>
        </w:rPr>
        <w:t xml:space="preserve">Урахування залежності при підготовці даних.</w:t>
      </w:r>
      <w:r>
        <w:t xml:space="preserve"> </w:t>
      </w:r>
      <w:r>
        <w:t xml:space="preserve">Автор принаймні концептуально розрізняє фізичні похідні, базові фрагменти, записи, групи «пристрій–сцена» і пристрої та не називає 10 000 об’єктів 10 000 незалежними джерелами (с. 120–122, 129–130, 146).</w:t>
      </w:r>
    </w:p>
    <w:p>
      <w:pPr>
        <w:pStyle w:val="Compact"/>
        <w:numPr>
          <w:ilvl w:val="0"/>
          <w:numId w:val="1001"/>
        </w:numPr>
      </w:pPr>
      <w:r>
        <w:rPr>
          <w:b/>
          <w:bCs/>
        </w:rPr>
        <w:t xml:space="preserve">Ретроспективна доброчесність.</w:t>
      </w:r>
      <w:r>
        <w:t xml:space="preserve"> </w:t>
      </w:r>
      <w:r>
        <w:t xml:space="preserve">Невідтворюваний AUC старого прогону вилучено, а сам прогін обмежено арифметичною перевіркою через відсутність первинних даних і незалежного поділу (с. 123, 142–145).</w:t>
      </w:r>
    </w:p>
    <w:bookmarkEnd w:id="11"/>
    <w:bookmarkStart w:id="27" w:name="пріоритетні-зауваження-major-comments"/>
    <w:p>
      <w:pPr>
        <w:pStyle w:val="Heading2"/>
      </w:pPr>
      <w:r>
        <w:t xml:space="preserve">Пріоритетні зауваження (major comments)</w:t>
      </w:r>
    </w:p>
    <w:bookmarkStart w:id="12" w:name="X1018ebbfae187e77f2aff9b1aacaf16d9fa9b69"/>
    <w:p>
      <w:pPr>
        <w:pStyle w:val="Heading3"/>
      </w:pPr>
      <w:r>
        <w:t xml:space="preserve">1. Первинний експериментальний конструкт не відповідає конструкції «аномальний код»</w:t>
      </w:r>
    </w:p>
    <w:p>
      <w:pPr>
        <w:pStyle w:val="FirstParagraph"/>
      </w:pPr>
      <w:r>
        <w:rPr>
          <w:b/>
          <w:bCs/>
        </w:rPr>
        <w:t xml:space="preserve">Місце:</w:t>
      </w:r>
      <w:r>
        <w:t xml:space="preserve"> </w:t>
      </w:r>
      <w:r>
        <w:t xml:space="preserve">вступ, с. 19–24; розд. 4.2, с. 117–123; табл. 4.21, с. 146; загальні висновки, с. 150–155.</w:t>
      </w:r>
    </w:p>
    <w:p>
      <w:pPr>
        <w:pStyle w:val="BodyText"/>
      </w:pPr>
      <w:r>
        <w:t xml:space="preserve">Позитивна мітка означає контрольовано внесену структурну або статистичну зміну. Серед втручань — хвостові байти, коректний блок</w:t>
      </w:r>
      <w:r>
        <w:t xml:space="preserve"> </w:t>
      </w:r>
      <w:r>
        <w:rPr>
          <w:rStyle w:val="VerbatimChar"/>
        </w:rPr>
        <w:t xml:space="preserve">free</w:t>
      </w:r>
      <w:r>
        <w:t xml:space="preserve">, шахове відхилення синього каналу та їх комбінації. Не перевіряються програмна семантика, команда, виконання, активація компонентом вебсистеми або небезпечний наслідок. Це прямо й коректно визнано автором, але об’єкт, предмет, назва технології та частина загальних висновків усе ще сформульовані як «виявлення аномальних кодів».</w:t>
      </w:r>
    </w:p>
    <w:p>
      <w:pPr>
        <w:pStyle w:val="BodyText"/>
      </w:pPr>
      <w:r>
        <w:t xml:space="preserve">Чесне застереження не усуває дефект валідності конструкта: висока точність щодо штучної зміни не є свідченням виявлення коду. Необхідно або звузити назву, мету, об’єкт, предмет і положення новизни до «виявлення контрольованих структурних і статистичних відхилень», або додати окремий корпус із семантично валідними аномальними/шкідливими вставками, безпечним відтворенням активації в ізольованому середовищі та причинно пов’язаними наслідками.</w:t>
      </w:r>
    </w:p>
    <w:bookmarkEnd w:id="12"/>
    <w:bookmarkStart w:id="13" w:name="Xae2b6d5d8d9f0f4cfee26b6497086b839747965"/>
    <w:p>
      <w:pPr>
        <w:pStyle w:val="Heading3"/>
      </w:pPr>
      <w:r>
        <w:t xml:space="preserve">2. Центральні заявлені властивості моделі й другого методу фактично не перевірено</w:t>
      </w:r>
    </w:p>
    <w:p>
      <w:pPr>
        <w:pStyle w:val="FirstParagraph"/>
      </w:pPr>
      <w:r>
        <w:rPr>
          <w:b/>
          <w:bCs/>
        </w:rPr>
        <w:t xml:space="preserve">Місце:</w:t>
      </w:r>
      <w:r>
        <w:t xml:space="preserve"> </w:t>
      </w:r>
      <w:r>
        <w:t xml:space="preserve">вступ, с. 21–26; розд. 2.3–2.4, с. 74–77; розд. 3.3, с. 100–106; розд. 4.1 і 4.4, с. 113–117, 136, 139–146; загальні висновки, с. 152–156.</w:t>
      </w:r>
    </w:p>
    <w:p>
      <w:pPr>
        <w:pStyle w:val="BodyText"/>
      </w:pPr>
      <w:r>
        <w:t xml:space="preserve">Наукова новизна пов’язана з маскою доступності, локалізаціями, ризиком, упевненістю, поясненням, причинним журналом і поведінковим узгодженням. Проте журнали</w:t>
      </w:r>
      <w:r>
        <w:t xml:space="preserve"> </w:t>
      </w:r>
      <m:oMath>
        <m:sSub>
          <m:e>
            <m:r>
              <m:t>X</m:t>
            </m:r>
          </m:e>
          <m:sub>
            <m:r>
              <m:t>b</m:t>
            </m:r>
          </m:sub>
        </m:sSub>
      </m:oMath>
      <w:r>
        <w:t xml:space="preserve"> </w:t>
      </w:r>
      <w:r>
        <w:t xml:space="preserve">не сформовано;</w:t>
      </w:r>
      <w:r>
        <w:t xml:space="preserve"> </w:t>
      </w:r>
      <m:oMath>
        <m:sSub>
          <m:e>
            <m:r>
              <m:t>Z</m:t>
            </m:r>
          </m:e>
          <m:sub>
            <m:r>
              <m:t>b</m:t>
            </m:r>
          </m:sub>
        </m:sSub>
      </m:oMath>
      <w:r>
        <w:t xml:space="preserve">, кодувальник подій і перехресне зіставлення не реалізовано; технічна поведінкова ознака жодного разу не спрацювала. Не оцінено також точність локалізації, коректність походження, калібрування ризику/впевненості, вірність пояснень або сформульовані на с. 77 вимоги монотонності, узгодженості перенормування та відтворюваності.</w:t>
      </w:r>
    </w:p>
    <w:p>
      <w:pPr>
        <w:pStyle w:val="BodyText"/>
      </w:pPr>
      <w:r>
        <w:t xml:space="preserve">Отже, експеримент підтримує статичний класифікаційний фрагмент, але не емпіричний внесок повної моделі, другого методу чи п’ятиетапної технології. Потрібен окремий експеримент із парними журналами штатного й зміненого оброблення, пропусками модальностей, еталонними локалізаціями та метриками коректності пояснення. Якщо це неможливо, твердження про другий метод і повну технологію слід залишити як формальну концепцію без емпіричної новизни.</w:t>
      </w:r>
    </w:p>
    <w:bookmarkEnd w:id="13"/>
    <w:bookmarkStart w:id="14" w:name="X52f804f8ba6ae23e2aa054c8a9445cab4145c5b"/>
    <w:p>
      <w:pPr>
        <w:pStyle w:val="Heading3"/>
      </w:pPr>
      <w:r>
        <w:t xml:space="preserve">3. Реалізована експериментальна конфігурація не повністю узгоджена з формальним методом</w:t>
      </w:r>
    </w:p>
    <w:p>
      <w:pPr>
        <w:pStyle w:val="FirstParagraph"/>
      </w:pPr>
      <w:r>
        <w:rPr>
          <w:b/>
          <w:bCs/>
        </w:rPr>
        <w:t xml:space="preserve">Місце:</w:t>
      </w:r>
      <w:r>
        <w:t xml:space="preserve"> </w:t>
      </w:r>
      <w:r>
        <w:t xml:space="preserve">розд. 3.2, с. 91–94; розд. 4.2, с. 119–122; розд. 4.4.3, с. 138–139.</w:t>
      </w:r>
    </w:p>
    <w:p>
      <w:pPr>
        <w:pStyle w:val="BodyText"/>
      </w:pPr>
      <w:r>
        <w:t xml:space="preserve">У розділі 3 повний</w:t>
      </w:r>
      <w:r>
        <w:t xml:space="preserve"> </w:t>
      </w:r>
      <m:oMath>
        <m:sSub>
          <m:e>
            <m:r>
              <m:t>Z</m:t>
            </m:r>
          </m:e>
          <m:sub>
            <m:r>
              <m:t>s</m:t>
            </m:r>
          </m:sub>
        </m:sSub>
      </m:oMath>
      <w:r>
        <w:t xml:space="preserve"> </w:t>
      </w:r>
      <w:r>
        <w:t xml:space="preserve">описано через вектор форматних розбіжностей, сім груп порушень і вектор застосовності; у розділі 4 прототип має дев’ять інших агрегованих ознак. На с. 91 зазначено, що підтримку JPEG і WebP не можна вважати підтвердженою без відповідних аналізаторів, але далі наведено результати «структурної конфігурації» для JPEG, WebP і WebM. Неясно, які саме форматні правила реально виконувалися, що означав стан «не підтримується» і чи не перетворювався він на позитивне рішення (особливо з огляду на 0,5000 для WebM).</w:t>
      </w:r>
    </w:p>
    <w:p>
      <w:pPr>
        <w:pStyle w:val="BodyText"/>
      </w:pPr>
      <w:r>
        <w:t xml:space="preserve">Потрібна таблиця відповідності «формальна компонента → реалізована ознака → форматний аналізатор → версія → експериментальна серія». Для кожного формату слід показати покриття правил, маску застосовності та поведінку за відсутнього аналізатора. Без цього результати п’ятиформатного перенесення не можна однозначно віднести до заявленого методу.</w:t>
      </w:r>
    </w:p>
    <w:bookmarkEnd w:id="14"/>
    <w:bookmarkStart w:id="15" w:name="X91678fa924ddad4e155c23d8609b56e688cce1f"/>
    <w:p>
      <w:pPr>
        <w:pStyle w:val="Heading3"/>
      </w:pPr>
      <w:r>
        <w:t xml:space="preserve">4. Незалежне відтворення неможливе з матеріалів рукопису</w:t>
      </w:r>
    </w:p>
    <w:p>
      <w:pPr>
        <w:pStyle w:val="FirstParagraph"/>
      </w:pPr>
      <w:r>
        <w:rPr>
          <w:b/>
          <w:bCs/>
        </w:rPr>
        <w:t xml:space="preserve">Місце:</w:t>
      </w:r>
      <w:r>
        <w:t xml:space="preserve"> </w:t>
      </w:r>
      <w:r>
        <w:t xml:space="preserve">розд. 3.2, табл. 3.4, с. 94; розд. 4.2–4.3, с. 119–129; загальні висновки, с. 153.</w:t>
      </w:r>
    </w:p>
    <w:p>
      <w:pPr>
        <w:pStyle w:val="BodyText"/>
      </w:pPr>
      <w:r>
        <w:t xml:space="preserve">Таблиця 3.4 прямо фіксує відсутність числових значень локального вікна й кроку, параметрів гістограми, ядер і нормування залишкових фільтрів, типу вейвлета, рівня DWT, вибору DCT/DWT-коефіцієнтів і локального порога. Для шлюзу не наведено функцію активації, функцію втрат, оптимізатор, швидкість навчання, кількість епох, розмір пакета, раннє зупинення, ініціалізацію, масштабування входів і програмну бібліотеку. Для логістичної регресії «</w:t>
      </w:r>
      <m:oMath>
        <m:sSub>
          <m:e>
            <m:r>
              <m:t>L</m:t>
            </m:r>
          </m:e>
          <m:sub>
            <m:r>
              <m:t>2</m:t>
            </m:r>
          </m:sub>
        </m:sSub>
      </m:oMath>
      <w:r>
        <w:t xml:space="preserve">-регуляризація 0,05» неоднозначна без визначення, чи це</w:t>
      </w:r>
      <w:r>
        <w:t xml:space="preserve"> </w:t>
      </w:r>
      <m:oMath>
        <m:r>
          <m:t>λ</m:t>
        </m:r>
      </m:oMath>
      <w:r>
        <w:t xml:space="preserve">,</w:t>
      </w:r>
      <w:r>
        <w:t xml:space="preserve"> </w:t>
      </w:r>
      <m:oMath>
        <m:r>
          <m:t>C</m:t>
        </m:r>
      </m:oMath>
      <w:r>
        <w:t xml:space="preserve"> </w:t>
      </w:r>
      <w:r>
        <w:t xml:space="preserve">або параметр іншої реалізації.</w:t>
      </w:r>
    </w:p>
    <w:p>
      <w:pPr>
        <w:pStyle w:val="BodyText"/>
      </w:pPr>
      <w:r>
        <w:t xml:space="preserve">Рукопис стверджує, що код, реєстри, параметри й контрольні суми збережено, але не подає URL/DOI, версію репозиторію, ліцензію чи архів. Зовнішній дослідник не має доступу до артефактів, на які спираються твердження про відтворюваність. Обов’язкове виправлення: незмінний архів (наприклад, репозиторій із DOI) з кодом, конфігураціями, середовищем, маніфестами даних, вагами/коефіцієнтами, пооб’єктними прогнозами, скриптом повного відтворення й очікуваними контрольними сумами.</w:t>
      </w:r>
    </w:p>
    <w:bookmarkEnd w:id="15"/>
    <w:bookmarkStart w:id="16" w:name="X4eddd119db73823829fbe0465350e84d74f986d"/>
    <w:p>
      <w:pPr>
        <w:pStyle w:val="Heading3"/>
      </w:pPr>
      <w:r>
        <w:t xml:space="preserve">5. «Багатоформатна» зовнішня валідація не є валідацією природних фото та незалежних форматних доменів</w:t>
      </w:r>
    </w:p>
    <w:p>
      <w:pPr>
        <w:pStyle w:val="FirstParagraph"/>
      </w:pPr>
      <w:r>
        <w:rPr>
          <w:b/>
          <w:bCs/>
        </w:rPr>
        <w:t xml:space="preserve">Місце:</w:t>
      </w:r>
      <w:r>
        <w:t xml:space="preserve"> </w:t>
      </w:r>
      <w:r>
        <w:t xml:space="preserve">розд. 4.2, с. 120–122; табл. 4.21, с. 146.</w:t>
      </w:r>
    </w:p>
    <w:p>
      <w:pPr>
        <w:pStyle w:val="BodyText"/>
      </w:pPr>
      <w:r>
        <w:t xml:space="preserve">PNG, JPEG, WebP, MP4 і WebM утворено з тих самих коротких відеофрагментів. Тобто п’ять форматів є залежними трансформаціями спільного візуального вмісту, а «фотоформати» — похідними кадрами відео, не природними фотографіями з власними камерами, редакторами, EXIF/метаданими й життєвим циклом вебзавантаження. Такий дизайн корисний для парного тесту чутливості до перекодування, але не підтверджує зовнішню переносимість на природні фото або на незалежні екосистеми форматів.</w:t>
      </w:r>
    </w:p>
    <w:p>
      <w:pPr>
        <w:pStyle w:val="BodyText"/>
      </w:pPr>
      <w:r>
        <w:t xml:space="preserve">Необхідні окремі набори природних фото для PNG/JPEG/WebP, природні WebM/MP4 з кількома кодеками, профілями, засобами контейнеризації і вебплатформами. Слід чітко перейменувати наявну серію на «парне форматне перетворення спільних відеофрагментів» і не використовувати її як достатній доказ п’ятиформатної узагальнюваності.</w:t>
      </w:r>
    </w:p>
    <w:bookmarkEnd w:id="16"/>
    <w:bookmarkStart w:id="17" w:name="X8aaace4da90c778bf1815fe1dbc26b943cecd2e"/>
    <w:p>
      <w:pPr>
        <w:pStyle w:val="Heading3"/>
      </w:pPr>
      <w:r>
        <w:t xml:space="preserve">6. Статистична незалежність обмежена джерелами; наведені інтервали надто оптимістичні для перенесення на нові пристрої</w:t>
      </w:r>
    </w:p>
    <w:p>
      <w:pPr>
        <w:pStyle w:val="FirstParagraph"/>
      </w:pPr>
      <w:r>
        <w:rPr>
          <w:b/>
          <w:bCs/>
        </w:rPr>
        <w:t xml:space="preserve">Місце:</w:t>
      </w:r>
      <w:r>
        <w:t xml:space="preserve"> </w:t>
      </w:r>
      <w:r>
        <w:t xml:space="preserve">розд. 4.2, с. 120–122; розд. 4.3.4, с. 129–130; розд. 4.4.2–4.4.4, с. 135–140; табл. 4.21, с. 146.</w:t>
      </w:r>
    </w:p>
    <w:p>
      <w:pPr>
        <w:pStyle w:val="BodyText"/>
      </w:pPr>
      <w:r>
        <w:t xml:space="preserve">Серії на 10 000 і 2 000 об’єктів походять відповідно лише з восьми записів двох пристроїв та восьми записів чотирьох пристроїв. Неперетинні часові вікна одного запису все одно мають спільний сенсор, кодек, сцену й часову автокореляцію. Описане стратифіковане повторне вибирання базових фрагментів, імовірно, умовне на наявних восьми записах і не оцінює дисперсію між новими пристроями. Це видно з незалежної серії: зміна за пристроями варіює від 0,0000 до 0,1462, тоді як умовний 95% інтервал за 100 фрагментами дуже вузький — [0,0403; 0,0553].</w:t>
      </w:r>
    </w:p>
    <w:p>
      <w:pPr>
        <w:pStyle w:val="BodyText"/>
      </w:pPr>
      <w:r>
        <w:t xml:space="preserve">Основною одиницею зовнішнього висновку має бути пристрій або незалежний запис, а не фрагмент. Потрібен ієрархічний аналіз (пристрій → запис/сцена → фрагмент → формат/умова), кластерний bootstrap із ресемплінгом верхнього рівня або змішана модель, а також значно більше незалежних пристроїв. Поточні інтервали слід називати умовними на конкретних джерелах і не використовувати для популяційної точності.</w:t>
      </w:r>
    </w:p>
    <w:bookmarkEnd w:id="17"/>
    <w:bookmarkStart w:id="18" w:name="X6c41d6bbfb4420c09cfe762210aca9515ded85b"/>
    <w:p>
      <w:pPr>
        <w:pStyle w:val="Heading3"/>
      </w:pPr>
      <w:r>
        <w:t xml:space="preserve">7. Частина структурних завдань створює майже прямий витік мітки та не відрізняє допустиму варіативність контейнера від загрози</w:t>
      </w:r>
    </w:p>
    <w:p>
      <w:pPr>
        <w:pStyle w:val="FirstParagraph"/>
      </w:pPr>
      <w:r>
        <w:rPr>
          <w:b/>
          <w:bCs/>
        </w:rPr>
        <w:t xml:space="preserve">Місце:</w:t>
      </w:r>
      <w:r>
        <w:t xml:space="preserve"> </w:t>
      </w:r>
      <w:r>
        <w:t xml:space="preserve">розд. 4.2, табл. 4.3, с. 118; опис зовнішніх втручань, с. 120; результати, с. 135–139.</w:t>
      </w:r>
    </w:p>
    <w:p>
      <w:pPr>
        <w:pStyle w:val="BodyText"/>
      </w:pPr>
      <w:r>
        <w:t xml:space="preserve">До позитивного класу входять великі хвостові області й коректний MP4-блок</w:t>
      </w:r>
      <w:r>
        <w:t xml:space="preserve"> </w:t>
      </w:r>
      <w:r>
        <w:rPr>
          <w:rStyle w:val="VerbatimChar"/>
        </w:rPr>
        <w:t xml:space="preserve">free</w:t>
      </w:r>
      <w:r>
        <w:t xml:space="preserve">, тоді як структурні ознаки прямо вимірюють хвостові байти, допоміжне навантаження й блоки</w:t>
      </w:r>
      <w:r>
        <w:t xml:space="preserve"> </w:t>
      </w:r>
      <w:r>
        <w:rPr>
          <w:rStyle w:val="VerbatimChar"/>
        </w:rPr>
        <w:t xml:space="preserve">free</w:t>
      </w:r>
      <w:r>
        <w:t xml:space="preserve">. Це робить частину задачі конструктивно легкою: мітка визначається тією самою властивістю, яку безпосередньо читає детектор. Крім того,</w:t>
      </w:r>
      <w:r>
        <w:t xml:space="preserve"> </w:t>
      </w:r>
      <w:r>
        <w:rPr>
          <w:rStyle w:val="VerbatimChar"/>
        </w:rPr>
        <w:t xml:space="preserve">free</w:t>
      </w:r>
      <w:r>
        <w:t xml:space="preserve">, padding, метадані та додаткові службові блоки можуть бути легальними й створюватися штатними muxer’ами, тому їх автоматичне маркування як позитивного класу не демонструє розрізнення «аномалія/норма».</w:t>
      </w:r>
    </w:p>
    <w:p>
      <w:pPr>
        <w:pStyle w:val="BodyText"/>
      </w:pPr>
      <w:r>
        <w:t xml:space="preserve">Потрібні складні негативні контроли: легальні</w:t>
      </w:r>
      <w:r>
        <w:t xml:space="preserve"> </w:t>
      </w:r>
      <w:r>
        <w:rPr>
          <w:rStyle w:val="VerbatimChar"/>
        </w:rPr>
        <w:t xml:space="preserve">free</w:t>
      </w:r>
      <w:r>
        <w:t xml:space="preserve">/padding/metadata, нестандартні, але коректні файли різних виробників, повторне кодування й редагування. Позитивні структурні сценарії мають охоплювати різні розміри, позиції, типи та семантику, включно з малими/замаскованими вставками. Окремо слід показати, що метод перевищує просте правило «наявна хвостова область/</w:t>
      </w:r>
      <w:r>
        <w:rPr>
          <w:rStyle w:val="VerbatimChar"/>
        </w:rPr>
        <w:t xml:space="preserve">free</w:t>
      </w:r>
      <w:r>
        <w:t xml:space="preserve">».</w:t>
      </w:r>
    </w:p>
    <w:bookmarkEnd w:id="18"/>
    <w:bookmarkStart w:id="19" w:name="Xfe087d57d64722c3de1cef51603d7f0513f3a22"/>
    <w:p>
      <w:pPr>
        <w:pStyle w:val="Heading3"/>
      </w:pPr>
      <w:r>
        <w:t xml:space="preserve">8. Не підтверджено, що спектральна мітка збереглася після втратного кодування</w:t>
      </w:r>
    </w:p>
    <w:p>
      <w:pPr>
        <w:pStyle w:val="FirstParagraph"/>
      </w:pPr>
      <w:r>
        <w:rPr>
          <w:b/>
          <w:bCs/>
        </w:rPr>
        <w:t xml:space="preserve">Місце:</w:t>
      </w:r>
      <w:r>
        <w:t xml:space="preserve"> </w:t>
      </w:r>
      <w:r>
        <w:t xml:space="preserve">табл. 4.3, с. 118; формування зовнішніх даних, с. 120–122; результати, с. 135–140.</w:t>
      </w:r>
    </w:p>
    <w:p>
      <w:pPr>
        <w:pStyle w:val="BodyText"/>
      </w:pPr>
      <w:r>
        <w:t xml:space="preserve">Спектральне втручання визначено малоамплітудним шаховим відхиленням синього каналу. Для JPEG, MP4, WebM та частини WebP таке відхилення може послабитися або зникнути під час квантування, підвибірки кольоровості й повторного кодування. Результат «жодна з 500 суто спектральних умов не виявлена» може означати слабкість детектора, але також може означати, що після формування фізичного об’єкта позитивний конструкт уже не існує в декодованому представленні.</w:t>
      </w:r>
    </w:p>
    <w:p>
      <w:pPr>
        <w:pStyle w:val="BodyText"/>
      </w:pPr>
      <w:r>
        <w:t xml:space="preserve">Для кожного формату й об’єкта треба верифікувати реалізовану зміну після остаточного кодування: декодовану парну різницю, енергію й розподіл зміни, PSNR/SSIM лише як допоміжні величини та, бажано, відновлення закладеного навантаження/патерну або інший семантичний критерій. Об’єкти, де втручання не пережило кодування, не можуть автоматично мати позитивну мітку.</w:t>
      </w:r>
    </w:p>
    <w:bookmarkEnd w:id="19"/>
    <w:bookmarkStart w:id="20" w:name="X68eba8953e2b41beb3d34d68c53ca38e161007d"/>
    <w:p>
      <w:pPr>
        <w:pStyle w:val="Heading3"/>
      </w:pPr>
      <w:r>
        <w:t xml:space="preserve">9. Опис і дизайн навчуваного шлюзу недостатні для оцінки його узагальнюваності</w:t>
      </w:r>
    </w:p>
    <w:p>
      <w:pPr>
        <w:pStyle w:val="FirstParagraph"/>
      </w:pPr>
      <w:r>
        <w:rPr>
          <w:b/>
          <w:bCs/>
        </w:rPr>
        <w:t xml:space="preserve">Місце:</w:t>
      </w:r>
      <w:r>
        <w:t xml:space="preserve"> </w:t>
      </w:r>
      <w:r>
        <w:t xml:space="preserve">розд. 4.2, с. 121; розд. 4.3.4, с. 129; розд. 4.4.4, с. 139–140.</w:t>
      </w:r>
    </w:p>
    <w:p>
      <w:pPr>
        <w:pStyle w:val="BodyText"/>
      </w:pPr>
      <w:r>
        <w:t xml:space="preserve">Крім відсутніх навчальних гіперпараметрів, розподіл шлюзу має сильну доменну структуру: навчання — записи одного пристрою в приміщенні, поріг — інша сцена того самого пристрою, внутрішня перевірка — другий пристрій. Формат подано як п’ять one-hot ознак, тому шлюз може реалізувати форматно-залежну політику порогів, а не навчитися узгоджувати незалежні свідчення. Незалежна серія справді використовує нові пристрої, але результат шлюзу зводиться до максимальної специфічності ціною нульового виявлення всіх суто спектральних умов.</w:t>
      </w:r>
    </w:p>
    <w:p>
      <w:pPr>
        <w:pStyle w:val="BodyText"/>
      </w:pPr>
      <w:r>
        <w:t xml:space="preserve">Слід надати повний протокол навчання, повторити його для кількох ініціалізацій і застосувати перехресну перевірку із почерговим вилученням пристрою або вкладену групову перехресну перевірку на етапі розроблення. Необхідно порівняти шлюз із прозорими форматно-специфічними порогами, логістичною моделлю та фіксованими правилами AND/OR. Це покаже, чи 73-параметрова мережа додає щось понад консервативний форматний фільтр.</w:t>
      </w:r>
    </w:p>
    <w:bookmarkEnd w:id="20"/>
    <w:bookmarkStart w:id="21" w:name="X2cc9ee0e6e4dc56f0e4d9bf2697b4cb22824190"/>
    <w:p>
      <w:pPr>
        <w:pStyle w:val="Heading3"/>
      </w:pPr>
      <w:r>
        <w:t xml:space="preserve">10. Немає апріорного обґрунтування розміру вибірок і мінімально значущого ефекту</w:t>
      </w:r>
    </w:p>
    <w:p>
      <w:pPr>
        <w:pStyle w:val="FirstParagraph"/>
      </w:pPr>
      <w:r>
        <w:rPr>
          <w:b/>
          <w:bCs/>
        </w:rPr>
        <w:t xml:space="preserve">Місце:</w:t>
      </w:r>
      <w:r>
        <w:t xml:space="preserve"> </w:t>
      </w:r>
      <w:r>
        <w:t xml:space="preserve">розд. 4.1–4.3, с. 113–130; результати, с. 132–140.</w:t>
      </w:r>
    </w:p>
    <w:p>
      <w:pPr>
        <w:pStyle w:val="BodyText"/>
      </w:pPr>
      <w:r>
        <w:t xml:space="preserve">Не наведено розрахунку потужності або планової ширини довірчого інтервалу на рівні незалежних груп. Внутрішня тестова частина містить 40 груп, перша зовнішня — 8 груп, поетапна — 4, незалежна серія — лише 4 пристрої. Автор правильно зазначає, що за п’яти розбіжних пар точний двобічний Мак-Немар не міг дати</w:t>
      </w:r>
      <w:r>
        <w:t xml:space="preserve"> </w:t>
      </w:r>
      <m:oMath>
        <m:r>
          <m:t>p</m:t>
        </m:r>
        <m:r>
          <m:rPr>
            <m:sty m:val="p"/>
          </m:rPr>
          <m:t>&lt;</m:t>
        </m:r>
        <m:r>
          <m:t>0</m:t>
        </m:r>
        <m:r>
          <m:rPr>
            <m:sty m:val="p"/>
          </m:rPr>
          <m:t>,</m:t>
        </m:r>
        <m:r>
          <m:t>05</m:t>
        </m:r>
      </m:oMath>
      <w:r>
        <w:t xml:space="preserve">, але це одночасно показує, що дизайн не мав достатньої роздільної здатності для заявленого порівняння.</w:t>
      </w:r>
    </w:p>
    <w:p>
      <w:pPr>
        <w:pStyle w:val="BodyText"/>
      </w:pPr>
      <w:r>
        <w:t xml:space="preserve">До нового експерименту слід наперед визначити первинний показник, мінімально практично важливу різницю, допустиму ширину CI та потрібну кількість незалежних пристроїв/сцен. Для вже наявних даних варто акцентувати ефекти й інтервали, а не дихотомічну «значущість».</w:t>
      </w:r>
    </w:p>
    <w:bookmarkEnd w:id="21"/>
    <w:bookmarkStart w:id="22" w:name="Xa7b4f7d14d42199f3266df48462943d50ae0ae6"/>
    <w:p>
      <w:pPr>
        <w:pStyle w:val="Heading3"/>
      </w:pPr>
      <w:r>
        <w:t xml:space="preserve">11. Статистичний план неповний: залежний Мак-Немар, невизначений bootstrap і множинні порівняння</w:t>
      </w:r>
    </w:p>
    <w:p>
      <w:pPr>
        <w:pStyle w:val="FirstParagraph"/>
      </w:pPr>
      <w:r>
        <w:rPr>
          <w:b/>
          <w:bCs/>
        </w:rPr>
        <w:t xml:space="preserve">Місце:</w:t>
      </w:r>
      <w:r>
        <w:t xml:space="preserve"> </w:t>
      </w:r>
      <w:r>
        <w:t xml:space="preserve">розд. 4.3.1–4.3.4, с. 123–130; результати, с. 132–140.</w:t>
      </w:r>
    </w:p>
    <w:p>
      <w:pPr>
        <w:pStyle w:val="BodyText"/>
      </w:pPr>
      <w:r>
        <w:t xml:space="preserve">Критерій Мак-Немара застосовано до об’єктів, хоча дві версії всередині первинної групи та двадцять похідних одного фрагмента залежні. Автор це визнає, але</w:t>
      </w:r>
      <w:r>
        <w:t xml:space="preserve"> </w:t>
      </w:r>
      <m:oMath>
        <m:r>
          <m:t>p</m:t>
        </m:r>
      </m:oMath>
      <w:r>
        <w:t xml:space="preserve"> </w:t>
      </w:r>
      <w:r>
        <w:t xml:space="preserve">все одно подається в таблицях і загальних висновках. Для bootstrap зазначено 2 000 повторів, однак не вказано тип інтервалу (percentile/basic/BCa), seed, роботу з виродженими ресемплами AUC та точний верхній рівень ресемплінгу. Проведено багато порівнянь конфігурацій, форматів, метрик, сценаріїв, відомих статистик, правил і ваг; поправку наведено лише для форматного допуску.</w:t>
      </w:r>
    </w:p>
    <w:p>
      <w:pPr>
        <w:pStyle w:val="BodyText"/>
      </w:pPr>
      <w:r>
        <w:t xml:space="preserve">Потрібно визначити ієрархію первинних/вторинних кінцевих точок, сім’ї гіпотез і корекцію множинності. Парне порівняння слід виконувати кластерним перестановним тестом або моделлю з випадковими ефектами. Повний алгоритм повторного вибирання й одночасні довірчі інтервали мають бути відтворюваними; допоміжні некоректно кластеризовані</w:t>
      </w:r>
      <w:r>
        <w:t xml:space="preserve"> </w:t>
      </w:r>
      <m:oMath>
        <m:r>
          <m:t>p</m:t>
        </m:r>
      </m:oMath>
      <w:r>
        <w:t xml:space="preserve">-значення краще вилучити.</w:t>
      </w:r>
    </w:p>
    <w:bookmarkEnd w:id="22"/>
    <w:bookmarkStart w:id="23" w:name="Xdc073c7ee034c24c0d8a172916e7dc6e2b5a039"/>
    <w:p>
      <w:pPr>
        <w:pStyle w:val="Heading3"/>
      </w:pPr>
      <w:r>
        <w:t xml:space="preserve">12. Дизайн має адаптивний, переважно розвідувальний характер</w:t>
      </w:r>
    </w:p>
    <w:p>
      <w:pPr>
        <w:pStyle w:val="FirstParagraph"/>
      </w:pPr>
      <w:r>
        <w:rPr>
          <w:b/>
          <w:bCs/>
        </w:rPr>
        <w:t xml:space="preserve">Місце:</w:t>
      </w:r>
      <w:r>
        <w:t xml:space="preserve"> </w:t>
      </w:r>
      <w:r>
        <w:t xml:space="preserve">розд. 4.1, с. 113–116;</w:t>
      </w:r>
      <w:r>
        <w:t xml:space="preserve"> </w:t>
      </w:r>
      <m:oMath>
        <m:sSub>
          <m:e>
            <m:r>
              <m:t>K</m:t>
            </m:r>
          </m:e>
          <m:sub>
            <m:r>
              <m:t>E</m:t>
            </m:r>
          </m:sub>
        </m:sSub>
      </m:oMath>
      <w:r>
        <w:t xml:space="preserve">, с. 126–128; послідовність зовнішніх серій, с. 135–140.</w:t>
      </w:r>
    </w:p>
    <w:p>
      <w:pPr>
        <w:pStyle w:val="BodyText"/>
      </w:pPr>
      <w:r>
        <w:t xml:space="preserve">Негативний результат першої зовнішньої серії спричинив створення правила підтвердження; багатоформатні дані використано для формування шлюзу; формулу</w:t>
      </w:r>
      <w:r>
        <w:t xml:space="preserve"> </w:t>
      </w:r>
      <m:oMath>
        <m:sSub>
          <m:e>
            <m:r>
              <m:t>K</m:t>
            </m:r>
          </m:e>
          <m:sub>
            <m:r>
              <m:t>E</m:t>
            </m:r>
          </m:sub>
        </m:sSub>
      </m:oMath>
      <w:r>
        <w:t xml:space="preserve"> </w:t>
      </w:r>
      <w:r>
        <w:t xml:space="preserve">уточнено після перегляду показників якості. Така послідовність методологічно допустима для розроблення й описана прозоро, але вона не є сукупністю незалежних підтверджувальних експериментів. Поетапна серія з чотирма групами не підтвердила правило статистично; незалежна серія перевірила шлюз, але не повний метод і не рейтинг</w:t>
      </w:r>
      <w:r>
        <w:t xml:space="preserve"> </w:t>
      </w:r>
      <m:oMath>
        <m:sSub>
          <m:e>
            <m:r>
              <m:t>K</m:t>
            </m:r>
          </m:e>
          <m:sub>
            <m:r>
              <m:t>E</m:t>
            </m:r>
          </m:sub>
        </m:sSub>
      </m:oMath>
      <w:r>
        <w:t xml:space="preserve">.</w:t>
      </w:r>
    </w:p>
    <w:p>
      <w:pPr>
        <w:pStyle w:val="BodyText"/>
      </w:pPr>
      <w:r>
        <w:t xml:space="preserve">Усі адаптивно сформовані результати слід маркувати як розвідувальні або одержані на етапі розроблення. Потрібен датований протокол або попередня реєстрація нової незадіяної серії з наперед визначеними моделлю, порогом, правилом, первинною метрикою, допустимим падінням повноти й планом статистичного аналізу.</w:t>
      </w:r>
    </w:p>
    <w:bookmarkEnd w:id="23"/>
    <w:bookmarkStart w:id="24" w:name="X55dc60b1cc89575cb857e922df566e0d7324faa"/>
    <w:p>
      <w:pPr>
        <w:pStyle w:val="Heading3"/>
      </w:pPr>
      <w:r>
        <w:t xml:space="preserve">13. Інтегральний показник</w:t>
      </w:r>
      <w:r>
        <w:t xml:space="preserve"> </w:t>
      </w:r>
      <m:oMath>
        <m:sSub>
          <m:e>
            <m:r>
              <m:t>K</m:t>
            </m:r>
          </m:e>
          <m:sub>
            <m:r>
              <m:t>E</m:t>
            </m:r>
          </m:sub>
        </m:sSub>
      </m:oMath>
      <w:r>
        <w:t xml:space="preserve"> </w:t>
      </w:r>
      <w:r>
        <w:t xml:space="preserve">не має достатньої вимірювальної валідності для ранжування</w:t>
      </w:r>
    </w:p>
    <w:p>
      <w:pPr>
        <w:pStyle w:val="FirstParagraph"/>
      </w:pPr>
      <w:r>
        <w:rPr>
          <w:b/>
          <w:bCs/>
        </w:rPr>
        <w:t xml:space="preserve">Місце:</w:t>
      </w:r>
      <w:r>
        <w:t xml:space="preserve"> </w:t>
      </w:r>
      <w:r>
        <w:t xml:space="preserve">розд. 4.3.3, с. 126–128; розд. 4.4.5, с. 140–141; табл. 4.21, с. 146.</w:t>
      </w:r>
    </w:p>
    <w:p>
      <w:pPr>
        <w:pStyle w:val="BodyText"/>
      </w:pPr>
      <m:oMath>
        <m:sSub>
          <m:e>
            <m:r>
              <m:t>K</m:t>
            </m:r>
          </m:e>
          <m:sub>
            <m:r>
              <m:t>E</m:t>
            </m:r>
          </m:sub>
        </m:sSub>
      </m:oMath>
      <w:r>
        <w:t xml:space="preserve"> </w:t>
      </w:r>
      <w:r>
        <w:t xml:space="preserve">сформовано після перегляду якості, ваги експертні, поріг форматного допуску 0,60 не обґрунтовано експлуатаційною функцією втрат.</w:t>
      </w:r>
      <w:r>
        <w:t xml:space="preserve"> </w:t>
      </w:r>
      <m:oMath>
        <m:sSub>
          <m:e>
            <m:r>
              <m:t>K</m:t>
            </m:r>
          </m:e>
          <m:sub>
            <m:r>
              <m:t>1</m:t>
            </m:r>
          </m:sub>
        </m:sSub>
      </m:oMath>
      <w:r>
        <w:t xml:space="preserve"> </w:t>
      </w:r>
      <w:r>
        <w:t xml:space="preserve">і</w:t>
      </w:r>
      <w:r>
        <w:t xml:space="preserve"> </w:t>
      </w:r>
      <m:oMath>
        <m:sSub>
          <m:e>
            <m:r>
              <m:t>K</m:t>
            </m:r>
          </m:e>
          <m:sub>
            <m:r>
              <m:t>4</m:t>
            </m:r>
          </m:sub>
        </m:sSub>
      </m:oMath>
      <w:r>
        <w:t xml:space="preserve"> </w:t>
      </w:r>
      <w:r>
        <w:t xml:space="preserve">двічі використовують ті самі класифікаційні рішення (середнє за джерелами та гармонійне середнє за форматами), тому залежні аспекти якості фактично отримують подвійну вагу. Нормування часу й пам’яті відносно спільної конфігурації робить її значення рівним 0,5 за означенням і змінює рейтинг при зміні довільної еталонної конфігурації. Для шлюзу якість у</w:t>
      </w:r>
      <w:r>
        <w:t xml:space="preserve"> </w:t>
      </w:r>
      <m:oMath>
        <m:sSub>
          <m:e>
            <m:r>
              <m:t>K</m:t>
            </m:r>
          </m:e>
          <m:sub>
            <m:r>
              <m:t>E</m:t>
            </m:r>
          </m:sub>
        </m:sSub>
      </m:oMath>
      <w:r>
        <w:t xml:space="preserve"> </w:t>
      </w:r>
      <w:r>
        <w:t xml:space="preserve">взято з даних його розроблення, а ресурсну частину — з малої підмножини того самого домену.</w:t>
      </w:r>
    </w:p>
    <w:p>
      <w:pPr>
        <w:pStyle w:val="BodyText"/>
      </w:pPr>
      <w:r>
        <w:t xml:space="preserve">Показник можна залишити лише як аналіз сценарію/чутливості, не як доказ «ефективності». Доцільніше подати Pareto-front первинних величин та рішення за наперед заданою прикладною функцією втрат. Якщо</w:t>
      </w:r>
      <w:r>
        <w:t xml:space="preserve"> </w:t>
      </w:r>
      <m:oMath>
        <m:sSub>
          <m:e>
            <m:r>
              <m:t>K</m:t>
            </m:r>
          </m:e>
          <m:sub>
            <m:r>
              <m:t>E</m:t>
            </m:r>
          </m:sub>
        </m:sSub>
      </m:oMath>
      <w:r>
        <w:t xml:space="preserve"> </w:t>
      </w:r>
      <w:r>
        <w:t xml:space="preserve">зберігається, потрібні обґрунтування нормування, аналіз кореляцій складників, широкий sensitivity analysis, невизначеність усіх компонентів і незалежна перевірка незмінної формули.</w:t>
      </w:r>
    </w:p>
    <w:bookmarkEnd w:id="24"/>
    <w:bookmarkStart w:id="25" w:name="Xd45af0556a6934580bdfc4a759c86c1c5ac02d0"/>
    <w:p>
      <w:pPr>
        <w:pStyle w:val="Heading3"/>
      </w:pPr>
      <w:r>
        <w:t xml:space="preserve">14. Ресурсне випробування не забезпечує відтворюваного або виробничого порівняння</w:t>
      </w:r>
    </w:p>
    <w:p>
      <w:pPr>
        <w:pStyle w:val="FirstParagraph"/>
      </w:pPr>
      <w:r>
        <w:rPr>
          <w:b/>
          <w:bCs/>
        </w:rPr>
        <w:t xml:space="preserve">Місце:</w:t>
      </w:r>
      <w:r>
        <w:t xml:space="preserve"> </w:t>
      </w:r>
      <w:r>
        <w:t xml:space="preserve">розд. 4.2, с. 119, 121; розд. 4.3.3–4.3.4, с. 126–130; розд. 4.4.5, с. 140–141; табл. 4.21, с. 146.</w:t>
      </w:r>
    </w:p>
    <w:p>
      <w:pPr>
        <w:pStyle w:val="BodyText"/>
      </w:pPr>
      <w:r>
        <w:t xml:space="preserve">Для нового ресурсного прогону не зафіксовано апаратний паспорт. Не описано засіб вимірювання RSS, частоту семплювання пам’яті, порядок запуску конфігурацій, рандомізацію порядку, прогрів кодеків/кешів, фонове навантаження, спосіб об’єднання пооб’єктних часів із п’яти процесів і CI для 95-го процентиля. Холодний старт вилучено, хоча для сервісу з еластичними воркерами він може бути частиною реальної затримки. П’ять процесних повторів на 160/64 залежних об’єктах недостатні для твердження про стабільну пропускну здатність.</w:t>
      </w:r>
    </w:p>
    <w:p>
      <w:pPr>
        <w:pStyle w:val="BodyText"/>
      </w:pPr>
      <w:r>
        <w:t xml:space="preserve">Потрібен повний паспорт порівняльного тестування, контейнеризоване середовище, рандомізований/чергований порядок, сценарії з прогрівом і холодним запуском, повтори на незалежних джерелах, розподіли часу та довірчі інтервали. Показники слід називати внутрішнім мікротестом реалізації, а не властивістю вебтехнології.</w:t>
      </w:r>
    </w:p>
    <w:bookmarkEnd w:id="25"/>
    <w:bookmarkStart w:id="26" w:name="X2faf3f162e22f42889506fd87dedb0ecb62a422"/>
    <w:p>
      <w:pPr>
        <w:pStyle w:val="Heading3"/>
      </w:pPr>
      <w:r>
        <w:t xml:space="preserve">15. Немає достатніх сильних базових методів для доведення доданої цінності запропонованої процедури</w:t>
      </w:r>
    </w:p>
    <w:p>
      <w:pPr>
        <w:pStyle w:val="FirstParagraph"/>
      </w:pPr>
      <w:r>
        <w:rPr>
          <w:b/>
          <w:bCs/>
        </w:rPr>
        <w:t xml:space="preserve">Місце:</w:t>
      </w:r>
      <w:r>
        <w:t xml:space="preserve"> </w:t>
      </w:r>
      <w:r>
        <w:t xml:space="preserve">постановка припущення, с. 113–116; внутрішнє порівняння, с. 132–135; багатоформатні порівняння, с. 138–139.</w:t>
      </w:r>
    </w:p>
    <w:p>
      <w:pPr>
        <w:pStyle w:val="BodyText"/>
      </w:pPr>
      <w:r>
        <w:t xml:space="preserve">Основні зіставлення — три варіанти власного набору ознак з однаковою логістичною регресією, а також три класичні статистичні показники. Це корисне компонентне вилучення, але не порівняння з відтворюваними сучасними стегоаналітичними методами, форматними валідаторами й простими композиційними правилами. Без цього неясно, чи приріст забезпечує саме запропонована двогілкова процедура, чи достатньо стандартного парсера контейнера плюс простого OR/AND/форматного порога.</w:t>
      </w:r>
    </w:p>
    <w:p>
      <w:pPr>
        <w:pStyle w:val="BodyText"/>
      </w:pPr>
      <w:r>
        <w:t xml:space="preserve">Необхідно додати щонайменше: сильний структурний baseline для кожного формату; сучасний відтворюваний image/video steganalysis baseline; прості правила об’єднання; лінійний/калібрований метакласифікатор; ідентичний груповий розподіл і парне статистичне порівняння. Для кожного baseline потрібні незмінні параметри та однакова одиниця незалежності.</w:t>
      </w:r>
    </w:p>
    <w:bookmarkEnd w:id="26"/>
    <w:bookmarkEnd w:id="27"/>
    <w:bookmarkStart w:id="28" w:name="другорядні-зауваження-minor-comments"/>
    <w:p>
      <w:pPr>
        <w:pStyle w:val="Heading2"/>
      </w:pPr>
      <w:r>
        <w:t xml:space="preserve">Другорядні зауваження (minor comments)</w:t>
      </w:r>
    </w:p>
    <w:p>
      <w:pPr>
        <w:pStyle w:val="Compact"/>
        <w:numPr>
          <w:ilvl w:val="0"/>
          <w:numId w:val="1002"/>
        </w:numPr>
      </w:pPr>
      <w:r>
        <w:rPr>
          <w:b/>
          <w:bCs/>
        </w:rPr>
        <w:t xml:space="preserve">Обсяг документа.</w:t>
      </w:r>
      <w:r>
        <w:t xml:space="preserve"> </w:t>
      </w:r>
      <w:r>
        <w:t xml:space="preserve">На с. 29 зазначено 170 сторінок, тоді як актуальний PDF має 176. Потрібно оновити структурну довідку.</w:t>
      </w:r>
    </w:p>
    <w:p>
      <w:pPr>
        <w:pStyle w:val="Compact"/>
        <w:numPr>
          <w:ilvl w:val="0"/>
          <w:numId w:val="1002"/>
        </w:numPr>
      </w:pPr>
      <w:r>
        <w:rPr>
          <w:b/>
          <w:bCs/>
        </w:rPr>
        <w:t xml:space="preserve">Версія FFmpeg.</w:t>
      </w:r>
      <w:r>
        <w:t xml:space="preserve"> </w:t>
      </w:r>
      <w:r>
        <w:t xml:space="preserve">На с. 119 згадано «вбудовану підтримку FFmpeg», але немає версії, build flags і конкретних кодеків/профілів; це критично для декодування й часових вимірювань.</w:t>
      </w:r>
    </w:p>
    <w:p>
      <w:pPr>
        <w:pStyle w:val="Compact"/>
        <w:numPr>
          <w:ilvl w:val="0"/>
          <w:numId w:val="1002"/>
        </w:numPr>
      </w:pPr>
      <w:r>
        <w:rPr>
          <w:b/>
          <w:bCs/>
        </w:rPr>
        <w:t xml:space="preserve">Незалежні одиниці в таблицях.</w:t>
      </w:r>
      <w:r>
        <w:t xml:space="preserve"> </w:t>
      </w:r>
      <w:r>
        <w:t xml:space="preserve">Поряд із кількістю фізичних об’єктів у кожній таблиці результатів слід указувати кількість пристроїв, записів/сцен і базових фрагментів.</w:t>
      </w:r>
    </w:p>
    <w:p>
      <w:pPr>
        <w:pStyle w:val="Compact"/>
        <w:numPr>
          <w:ilvl w:val="0"/>
          <w:numId w:val="1002"/>
        </w:numPr>
      </w:pPr>
      <w:r>
        <w:rPr>
          <w:b/>
          <w:bCs/>
        </w:rPr>
        <w:t xml:space="preserve">Метод довірчих інтервалів.</w:t>
      </w:r>
      <w:r>
        <w:t xml:space="preserve"> </w:t>
      </w:r>
      <w:r>
        <w:t xml:space="preserve">У підписі або методиці потрібно вказати тип інтервалу повторного вибирання, початкове значення генератора, рівень кластеризації та спосіб оброблення повторних вибірок з одним класом.</w:t>
      </w:r>
    </w:p>
    <w:p>
      <w:pPr>
        <w:pStyle w:val="Compact"/>
        <w:numPr>
          <w:ilvl w:val="0"/>
          <w:numId w:val="1002"/>
        </w:numPr>
      </w:pPr>
      <w:r>
        <w:rPr>
          <w:b/>
          <w:bCs/>
        </w:rPr>
        <w:t xml:space="preserve">Надмірна числова точність.</w:t>
      </w:r>
      <w:r>
        <w:t xml:space="preserve"> </w:t>
      </w:r>
      <w:r>
        <w:t xml:space="preserve">Пороги з шістьма знаками, вузькі CI для</w:t>
      </w:r>
      <w:r>
        <w:t xml:space="preserve"> </w:t>
      </w:r>
      <m:oMath>
        <m:sSub>
          <m:e>
            <m:r>
              <m:t>K</m:t>
            </m:r>
          </m:e>
          <m:sub>
            <m:r>
              <m:t>E</m:t>
            </m:r>
          </m:sub>
        </m:sSub>
      </m:oMath>
      <w:r>
        <w:t xml:space="preserve"> </w:t>
      </w:r>
      <w:r>
        <w:t xml:space="preserve">та часові значення до тисячної мілісекунди не відповідають фактичній невизначеності дизайну й обладнання.</w:t>
      </w:r>
    </w:p>
    <w:p>
      <w:pPr>
        <w:pStyle w:val="Compact"/>
        <w:numPr>
          <w:ilvl w:val="0"/>
          <w:numId w:val="1002"/>
        </w:numPr>
      </w:pPr>
      <w:r>
        <w:rPr>
          <w:b/>
          <w:bCs/>
        </w:rPr>
        <w:t xml:space="preserve">Форматні результати.</w:t>
      </w:r>
      <w:r>
        <w:t xml:space="preserve"> </w:t>
      </w:r>
      <w:r>
        <w:t xml:space="preserve">Для кожного формату варто подати не лише збалансовану правильність, а повну матрицю помилок, число незалежних джерел і CI або чітко зазначити, чому CI не оцінюється.</w:t>
      </w:r>
    </w:p>
    <w:p>
      <w:pPr>
        <w:pStyle w:val="Compact"/>
        <w:numPr>
          <w:ilvl w:val="0"/>
          <w:numId w:val="1002"/>
        </w:numPr>
      </w:pPr>
      <w:r>
        <w:rPr>
          <w:b/>
          <w:bCs/>
        </w:rPr>
        <w:t xml:space="preserve">Термін «незалежна серія».</w:t>
      </w:r>
      <w:r>
        <w:t xml:space="preserve"> </w:t>
      </w:r>
      <w:r>
        <w:t xml:space="preserve">Доцільно використовувати точніше «зовнішня відкладена серія на нових пристроях того самого корпусу VISION», оскільки це не незалежна реплікація іншою групою, кодовою базою або джерелом даних.</w:t>
      </w:r>
    </w:p>
    <w:p>
      <w:pPr>
        <w:pStyle w:val="Compact"/>
        <w:numPr>
          <w:ilvl w:val="0"/>
          <w:numId w:val="1002"/>
        </w:numPr>
      </w:pPr>
      <w:r>
        <w:rPr>
          <w:b/>
          <w:bCs/>
        </w:rPr>
        <w:t xml:space="preserve">Ретроспективний прогін.</w:t>
      </w:r>
      <w:r>
        <w:t xml:space="preserve"> </w:t>
      </w:r>
      <w:r>
        <w:t xml:space="preserve">Його краще називати «ретроспективним аудитом агрегатів», а не однією з шести експериментальних серій, оскільки первинні дані, код і незалежний поділ відсутні.</w:t>
      </w:r>
    </w:p>
    <w:p>
      <w:pPr>
        <w:pStyle w:val="Compact"/>
        <w:numPr>
          <w:ilvl w:val="0"/>
          <w:numId w:val="1002"/>
        </w:numPr>
      </w:pPr>
      <w:r>
        <w:rPr>
          <w:b/>
          <w:bCs/>
        </w:rPr>
        <w:t xml:space="preserve">Порогове правило.</w:t>
      </w:r>
      <w:r>
        <w:t xml:space="preserve"> </w:t>
      </w:r>
      <w:r>
        <w:t xml:space="preserve">Для трьох логістичних конфігурацій потрібно описати tie-breaking при однаковій збалансованій правильності та кількість фактично розглянутих порогів.</w:t>
      </w:r>
    </w:p>
    <w:p>
      <w:pPr>
        <w:pStyle w:val="Compact"/>
        <w:numPr>
          <w:ilvl w:val="0"/>
          <w:numId w:val="1002"/>
        </w:numPr>
      </w:pPr>
      <w:r>
        <w:rPr>
          <w:b/>
          <w:bCs/>
        </w:rPr>
        <w:t xml:space="preserve">Доступність даних.</w:t>
      </w:r>
      <w:r>
        <w:t xml:space="preserve"> </w:t>
      </w:r>
      <w:r>
        <w:t xml:space="preserve">Потрібен окремий формальний розділ «Доступність даних і коду» з постійним ідентифікатором, умовами доступу до похідних VISION і ліцензією авторського коду.</w:t>
      </w:r>
    </w:p>
    <w:bookmarkEnd w:id="28"/>
    <w:bookmarkStart w:id="29" w:name="питання-до-автора"/>
    <w:p>
      <w:pPr>
        <w:pStyle w:val="Heading2"/>
      </w:pPr>
      <w:r>
        <w:t xml:space="preserve">Питання до автора</w:t>
      </w:r>
    </w:p>
    <w:p>
      <w:pPr>
        <w:pStyle w:val="Compact"/>
        <w:numPr>
          <w:ilvl w:val="0"/>
          <w:numId w:val="1003"/>
        </w:numPr>
      </w:pPr>
      <w:r>
        <w:t xml:space="preserve">Де саме розміщено збережений код, конфігурації, ваги, пооб’єктні оцінки та маніфести? Чи існує незмінний архів із DOI/commit hash, доступний рецензенту?</w:t>
      </w:r>
    </w:p>
    <w:p>
      <w:pPr>
        <w:pStyle w:val="Compact"/>
        <w:numPr>
          <w:ilvl w:val="0"/>
          <w:numId w:val="1003"/>
        </w:numPr>
      </w:pPr>
      <w:r>
        <w:t xml:space="preserve">Які точні значення локального вікна, кроку, гістограм, ядер фільтрів, DCT/DWT-параметрів і</w:t>
      </w:r>
      <w:r>
        <w:t xml:space="preserve"> </w:t>
      </w:r>
      <m:oMath>
        <m:sSub>
          <m:e>
            <m:r>
              <m:t>τ</m:t>
            </m:r>
          </m:e>
          <m:sub>
            <m:r>
              <m:t>v</m:t>
            </m:r>
          </m:sub>
        </m:sSub>
      </m:oMath>
      <w:r>
        <w:t xml:space="preserve"> </w:t>
      </w:r>
      <w:r>
        <w:t xml:space="preserve">використовувалися у фінальних серіях?</w:t>
      </w:r>
    </w:p>
    <w:p>
      <w:pPr>
        <w:pStyle w:val="Compact"/>
        <w:numPr>
          <w:ilvl w:val="0"/>
          <w:numId w:val="1003"/>
        </w:numPr>
      </w:pPr>
      <w:r>
        <w:t xml:space="preserve">Які функція активації, функція втрат, оптимізатор, швидкість навчання, розмір пакета, число епох, регуляризація, масштабування і початкове значення генератора використані для 73-параметрового шлюзу?</w:t>
      </w:r>
    </w:p>
    <w:p>
      <w:pPr>
        <w:pStyle w:val="Compact"/>
        <w:numPr>
          <w:ilvl w:val="0"/>
          <w:numId w:val="1003"/>
        </w:numPr>
      </w:pPr>
      <w:r>
        <w:t xml:space="preserve">Які конкретні аналізатори та набори структурних правил реально виконувалися для JPEG, WebP і WebM? Як кодувалася відсутність підтримки формату?</w:t>
      </w:r>
    </w:p>
    <w:p>
      <w:pPr>
        <w:pStyle w:val="Compact"/>
        <w:numPr>
          <w:ilvl w:val="0"/>
          <w:numId w:val="1003"/>
        </w:numPr>
      </w:pPr>
      <w:r>
        <w:t xml:space="preserve">Як перевірено, що малоамплітудна спектральна зміна залишилася в декодованих JPEG/MP4/WebM після остаточного кодування?</w:t>
      </w:r>
    </w:p>
    <w:p>
      <w:pPr>
        <w:pStyle w:val="Compact"/>
        <w:numPr>
          <w:ilvl w:val="0"/>
          <w:numId w:val="1003"/>
        </w:numPr>
      </w:pPr>
      <w:r>
        <w:t xml:space="preserve">Чому коректний MP4-блок</w:t>
      </w:r>
      <w:r>
        <w:t xml:space="preserve"> </w:t>
      </w:r>
      <w:r>
        <w:rPr>
          <w:rStyle w:val="VerbatimChar"/>
        </w:rPr>
        <w:t xml:space="preserve">free</w:t>
      </w:r>
      <w:r>
        <w:t xml:space="preserve"> </w:t>
      </w:r>
      <w:r>
        <w:t xml:space="preserve">вважається позитивною аномалією? Які легальні</w:t>
      </w:r>
      <w:r>
        <w:t xml:space="preserve"> </w:t>
      </w:r>
      <w:r>
        <w:rPr>
          <w:rStyle w:val="VerbatimChar"/>
        </w:rPr>
        <w:t xml:space="preserve">free</w:t>
      </w:r>
      <w:r>
        <w:t xml:space="preserve">, padding і metadata використано як негативні контроли?</w:t>
      </w:r>
    </w:p>
    <w:p>
      <w:pPr>
        <w:pStyle w:val="Compact"/>
        <w:numPr>
          <w:ilvl w:val="0"/>
          <w:numId w:val="1003"/>
        </w:numPr>
      </w:pPr>
      <w:r>
        <w:t xml:space="preserve">Чи були визначення ознак, пороги або правила змінені після перегляду кожної зовнішньої серії? Чи існують датовані протоколи до відкриття міток?</w:t>
      </w:r>
    </w:p>
    <w:p>
      <w:pPr>
        <w:pStyle w:val="Compact"/>
        <w:numPr>
          <w:ilvl w:val="0"/>
          <w:numId w:val="1003"/>
        </w:numPr>
      </w:pPr>
      <w:r>
        <w:t xml:space="preserve">Чому форматний допуск установлено саме на 0,60 і яка прикладна вартість хибнопозитивного рішення порівняно з пропуском визначила цей рівень та ваги</w:t>
      </w:r>
      <w:r>
        <w:t xml:space="preserve"> </w:t>
      </w:r>
      <m:oMath>
        <m:sSub>
          <m:e>
            <m:r>
              <m:t>K</m:t>
            </m:r>
          </m:e>
          <m:sub>
            <m:r>
              <m:t>E</m:t>
            </m:r>
          </m:sub>
        </m:sSub>
      </m:oMath>
      <w:r>
        <w:t xml:space="preserve">?</w:t>
      </w:r>
    </w:p>
    <w:p>
      <w:pPr>
        <w:pStyle w:val="Compact"/>
        <w:numPr>
          <w:ilvl w:val="0"/>
          <w:numId w:val="1003"/>
        </w:numPr>
      </w:pPr>
      <w:r>
        <w:t xml:space="preserve">Як саме формувалися повторні вибірки: чи ресемплювалися пристрої/записи як верхній рівень, чи всі вісім джерел залишалися фіксованими в кожному повторі?</w:t>
      </w:r>
    </w:p>
    <w:p>
      <w:pPr>
        <w:pStyle w:val="Compact"/>
        <w:numPr>
          <w:ilvl w:val="0"/>
          <w:numId w:val="1003"/>
        </w:numPr>
      </w:pPr>
      <w:r>
        <w:t xml:space="preserve">Яке обладнання, операційна конфігурація, версія FFmpeg/кодеків і вимірювач RSS використані в ресурсній серії?</w:t>
      </w:r>
    </w:p>
    <w:p>
      <w:pPr>
        <w:pStyle w:val="Compact"/>
        <w:numPr>
          <w:ilvl w:val="0"/>
          <w:numId w:val="1003"/>
        </w:numPr>
      </w:pPr>
      <w:r>
        <w:t xml:space="preserve">Чи є природні, а не отримані з відеокадрів, PNG/JPEG/WebP у будь-якій перевірній серії?</w:t>
      </w:r>
    </w:p>
    <w:p>
      <w:pPr>
        <w:pStyle w:val="Compact"/>
        <w:numPr>
          <w:ilvl w:val="0"/>
          <w:numId w:val="1003"/>
        </w:numPr>
      </w:pPr>
      <w:r>
        <w:t xml:space="preserve">Які кількісні критерії підтверджують правильність локалізацій</w:t>
      </w:r>
      <w:r>
        <w:t xml:space="preserve"> </w:t>
      </w:r>
      <m:oMath>
        <m:sSub>
          <m:e>
            <m:r>
              <m:t>L</m:t>
            </m:r>
          </m:e>
          <m:sub>
            <m:r>
              <m:t>s</m:t>
            </m:r>
          </m:sub>
        </m:sSub>
        <m:r>
          <m:rPr>
            <m:sty m:val="p"/>
          </m:rPr>
          <m:t>/</m:t>
        </m:r>
        <m:sSub>
          <m:e>
            <m:r>
              <m:t>L</m:t>
            </m:r>
          </m:e>
          <m:sub>
            <m:r>
              <m:t>v</m:t>
            </m:r>
          </m:sub>
        </m:sSub>
      </m:oMath>
      <w:r>
        <w:t xml:space="preserve">, маски доступності, пояснення</w:t>
      </w:r>
      <w:r>
        <w:t xml:space="preserve"> </w:t>
      </w:r>
      <m:oMath>
        <m:r>
          <m:rPr>
            <m:sty m:val="p"/>
          </m:rPr>
          <m:t>Π</m:t>
        </m:r>
      </m:oMath>
      <w:r>
        <w:t xml:space="preserve"> </w:t>
      </w:r>
      <w:r>
        <w:t xml:space="preserve">та оцінки впевненості</w:t>
      </w:r>
      <w:r>
        <w:t xml:space="preserve"> </w:t>
      </w:r>
      <m:oMath>
        <m:sSub>
          <m:e>
            <m:r>
              <m:t>c</m:t>
            </m:r>
          </m:e>
          <m:sub>
            <m:r>
              <m:t>A</m:t>
            </m:r>
          </m:sub>
        </m:sSub>
      </m:oMath>
      <w:r>
        <w:t xml:space="preserve">?</w:t>
      </w:r>
    </w:p>
    <w:bookmarkEnd w:id="29"/>
    <w:bookmarkStart w:id="30" w:name="підсумкова-рекомендація"/>
    <w:p>
      <w:pPr>
        <w:pStyle w:val="Heading2"/>
      </w:pPr>
      <w:r>
        <w:t xml:space="preserve">Підсумкова рекомендація</w:t>
      </w:r>
    </w:p>
    <w:p>
      <w:pPr>
        <w:pStyle w:val="FirstParagraph"/>
      </w:pPr>
      <w:r>
        <w:rPr>
          <w:b/>
          <w:bCs/>
        </w:rPr>
        <w:t xml:space="preserve">Рішення: суттєве доопрацювання; повторна рецензія після виправлень.</w:t>
      </w:r>
    </w:p>
    <w:p>
      <w:pPr>
        <w:pStyle w:val="BodyText"/>
      </w:pPr>
      <w:r>
        <w:t xml:space="preserve">Рукопис має сильну формальну структуру, корисну простежуваність доказового статусу та низку доброчесно поданих негативних результатів. Наявні експерименти підтримують вузький висновок про поведінку конкретних структурних і спектрально-зорових ознак на контрольованих змінах та обмежених похідних VISION. Вони поки що не забезпечують достатньої конструктивної, зовнішньої та статистичної валідності для повної заяви про технологію виявлення аномальних кодів у фото- та відеооб’єктах вебресурсів.</w:t>
      </w:r>
    </w:p>
    <w:p>
      <w:pPr>
        <w:pStyle w:val="BodyText"/>
      </w:pPr>
      <w:r>
        <w:t xml:space="preserve">Мінімальний шлях до позитивного рішення: (1) звузити або емпірично підтвердити центральний конструкт; (2) оприлюднити повний відтворюваний пакет; (3) перерахувати невизначеність на рівні незалежних пристроїв/джерел; (4) верифікувати реалізованість спектральних міток після кодування; (5) додати легальні структурні контроли й сильні базові методи; (6) провести нову наперед зафіксовану зовнішню серію або відповідно обмежити положення новизни й загальні висновки.</w:t>
      </w:r>
    </w:p>
    <w:bookmarkEnd w:id="30"/>
    <w:bookmarkEnd w:id="31"/>
    <w:sectPr w:rsidR="006F3AFB" w:rsidRPr="004C1203" w:rsidSect="000569DC">
      <w:pgSz w:h="15840" w:w="12240"/>
      <w:pgMar w:bottom="1440" w:footer="720" w:gutter="0" w:header="720" w:left="1440" w:right="1440" w:top="1440"/>
      <w:pgNumType w:start="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BDD"/>
    <w:rsid w:val="00020589"/>
    <w:rsid w:val="00026B37"/>
    <w:rsid w:val="000521C7"/>
    <w:rsid w:val="000569DC"/>
    <w:rsid w:val="0006612E"/>
    <w:rsid w:val="000A6FFA"/>
    <w:rsid w:val="000C313B"/>
    <w:rsid w:val="000D295F"/>
    <w:rsid w:val="000E6BA0"/>
    <w:rsid w:val="000F139B"/>
    <w:rsid w:val="0012159D"/>
    <w:rsid w:val="00140F3B"/>
    <w:rsid w:val="00142770"/>
    <w:rsid w:val="0014411D"/>
    <w:rsid w:val="00153D1A"/>
    <w:rsid w:val="001A7A23"/>
    <w:rsid w:val="001D6BDD"/>
    <w:rsid w:val="001E13F6"/>
    <w:rsid w:val="00267AB6"/>
    <w:rsid w:val="002D4959"/>
    <w:rsid w:val="002E71E5"/>
    <w:rsid w:val="002E76DC"/>
    <w:rsid w:val="002F0338"/>
    <w:rsid w:val="0033232E"/>
    <w:rsid w:val="00342874"/>
    <w:rsid w:val="003538B0"/>
    <w:rsid w:val="003A1082"/>
    <w:rsid w:val="003A6D6E"/>
    <w:rsid w:val="00450DF0"/>
    <w:rsid w:val="004605CD"/>
    <w:rsid w:val="00472D9C"/>
    <w:rsid w:val="00491C84"/>
    <w:rsid w:val="00497DAB"/>
    <w:rsid w:val="004C1203"/>
    <w:rsid w:val="004D0F4C"/>
    <w:rsid w:val="004E26B1"/>
    <w:rsid w:val="004E2D25"/>
    <w:rsid w:val="004F3137"/>
    <w:rsid w:val="00527657"/>
    <w:rsid w:val="00562A98"/>
    <w:rsid w:val="005900DF"/>
    <w:rsid w:val="00590790"/>
    <w:rsid w:val="005C16CE"/>
    <w:rsid w:val="005E1C17"/>
    <w:rsid w:val="006025E9"/>
    <w:rsid w:val="0061227C"/>
    <w:rsid w:val="00620C34"/>
    <w:rsid w:val="006226F2"/>
    <w:rsid w:val="00630FDA"/>
    <w:rsid w:val="00662C90"/>
    <w:rsid w:val="00664279"/>
    <w:rsid w:val="006853B4"/>
    <w:rsid w:val="00696417"/>
    <w:rsid w:val="006A2464"/>
    <w:rsid w:val="006A51F0"/>
    <w:rsid w:val="006A6608"/>
    <w:rsid w:val="006D30AC"/>
    <w:rsid w:val="006F3864"/>
    <w:rsid w:val="006F3AFB"/>
    <w:rsid w:val="00703607"/>
    <w:rsid w:val="007220D1"/>
    <w:rsid w:val="00762878"/>
    <w:rsid w:val="007A7062"/>
    <w:rsid w:val="007C4F9F"/>
    <w:rsid w:val="00805921"/>
    <w:rsid w:val="00830F5B"/>
    <w:rsid w:val="00841F7A"/>
    <w:rsid w:val="008539A8"/>
    <w:rsid w:val="008742DC"/>
    <w:rsid w:val="008867AD"/>
    <w:rsid w:val="008A38D7"/>
    <w:rsid w:val="008B3E18"/>
    <w:rsid w:val="008D1B87"/>
    <w:rsid w:val="008E0BE2"/>
    <w:rsid w:val="00905DA6"/>
    <w:rsid w:val="00916B40"/>
    <w:rsid w:val="00944DB9"/>
    <w:rsid w:val="009670AE"/>
    <w:rsid w:val="009E05A8"/>
    <w:rsid w:val="009F0B2F"/>
    <w:rsid w:val="00A16C52"/>
    <w:rsid w:val="00A67D7B"/>
    <w:rsid w:val="00A761F6"/>
    <w:rsid w:val="00AB45B0"/>
    <w:rsid w:val="00AE2D87"/>
    <w:rsid w:val="00B440AF"/>
    <w:rsid w:val="00B50055"/>
    <w:rsid w:val="00B523F3"/>
    <w:rsid w:val="00B621FA"/>
    <w:rsid w:val="00B72124"/>
    <w:rsid w:val="00B72D95"/>
    <w:rsid w:val="00B9041E"/>
    <w:rsid w:val="00C06DA0"/>
    <w:rsid w:val="00C3130E"/>
    <w:rsid w:val="00C6773A"/>
    <w:rsid w:val="00C73E97"/>
    <w:rsid w:val="00C772B3"/>
    <w:rsid w:val="00C94F2A"/>
    <w:rsid w:val="00CA427B"/>
    <w:rsid w:val="00CB76D3"/>
    <w:rsid w:val="00CC16E8"/>
    <w:rsid w:val="00D071C2"/>
    <w:rsid w:val="00D379CF"/>
    <w:rsid w:val="00D41A22"/>
    <w:rsid w:val="00DA5EE3"/>
    <w:rsid w:val="00DC53DD"/>
    <w:rsid w:val="00E12AE4"/>
    <w:rsid w:val="00E704DE"/>
    <w:rsid w:val="00E74A60"/>
    <w:rsid w:val="00EA7D15"/>
    <w:rsid w:val="00EC32D7"/>
    <w:rsid w:val="00EC77E1"/>
    <w:rsid w:val="00ED3A41"/>
    <w:rsid w:val="00EF6B6D"/>
    <w:rsid w:val="00F01020"/>
    <w:rsid w:val="00F23F4C"/>
    <w:rsid w:val="00F40828"/>
    <w:rsid w:val="00F41C50"/>
    <w:rsid w:val="00F46310"/>
    <w:rsid w:val="00F66750"/>
    <w:rsid w:val="00F876D7"/>
    <w:rsid w:val="00FA2C40"/>
    <w:rsid w:val="00FA69C0"/>
    <w:rsid w:val="00FF131E"/>
  </w:rsids>
  <w:themeFontLang w:val="uk-U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uk-UA"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2159D"/>
  </w:style>
  <w:style w:styleId="Heading1" w:type="paragraph">
    <w:name w:val="heading 1"/>
    <w:basedOn w:val="Normal"/>
    <w:next w:val="Normal"/>
    <w:uiPriority w:val="9"/>
    <w:qFormat/>
    <w:rsid w:val="006D30AC"/>
    <w:pPr>
      <w:keepNext/>
      <w:keepLines/>
      <w:spacing w:after="120" w:before="120"/>
      <w:outlineLvl w:val="0"/>
    </w:pPr>
    <w:rPr>
      <w:sz w:val="32"/>
      <w:szCs w:val="40"/>
    </w:rPr>
  </w:style>
  <w:style w:styleId="Heading2" w:type="paragraph">
    <w:name w:val="heading 2"/>
    <w:basedOn w:val="Normal"/>
    <w:next w:val="Normal"/>
    <w:uiPriority w:val="9"/>
    <w:unhideWhenUsed/>
    <w:qFormat/>
    <w:rsid w:val="006D30AC"/>
    <w:pPr>
      <w:keepNext/>
      <w:keepLines/>
      <w:spacing w:after="120" w:before="120"/>
      <w:outlineLvl w:val="1"/>
    </w:pPr>
    <w:rPr>
      <w:sz w:val="28"/>
      <w:szCs w:val="32"/>
    </w:rPr>
  </w:style>
  <w:style w:styleId="Heading3" w:type="paragraph">
    <w:name w:val="heading 3"/>
    <w:basedOn w:val="Normal"/>
    <w:next w:val="Normal"/>
    <w:uiPriority w:val="9"/>
    <w:semiHidden/>
    <w:unhideWhenUsed/>
    <w:qFormat/>
    <w:pPr>
      <w:keepNext/>
      <w:keepLines/>
      <w:spacing w:after="80" w:before="320"/>
      <w:outlineLvl w:val="2"/>
    </w:pPr>
    <w:rPr>
      <w:color w:val="434343"/>
      <w:sz w:val="28"/>
      <w:szCs w:val="28"/>
    </w:rPr>
  </w:style>
  <w:style w:styleId="Heading4" w:type="paragraph">
    <w:name w:val="heading 4"/>
    <w:basedOn w:val="Normal"/>
    <w:next w:val="Normal"/>
    <w:uiPriority w:val="9"/>
    <w:semiHidden/>
    <w:unhideWhenUsed/>
    <w:qFormat/>
    <w:pPr>
      <w:keepNext/>
      <w:keepLines/>
      <w:spacing w:after="80" w:before="280"/>
      <w:outlineLvl w:val="3"/>
    </w:pPr>
    <w:rPr>
      <w:color w:val="666666"/>
      <w:sz w:val="24"/>
      <w:szCs w:val="24"/>
    </w:rPr>
  </w:style>
  <w:style w:styleId="Heading5" w:type="paragraph">
    <w:name w:val="heading 5"/>
    <w:basedOn w:val="Normal"/>
    <w:next w:val="Normal"/>
    <w:uiPriority w:val="9"/>
    <w:semiHidden/>
    <w:unhideWhenUsed/>
    <w:qFormat/>
    <w:pPr>
      <w:keepNext/>
      <w:keepLines/>
      <w:spacing w:after="80" w:before="240"/>
      <w:outlineLvl w:val="4"/>
    </w:pPr>
    <w:rPr>
      <w:color w:val="666666"/>
    </w:rPr>
  </w:style>
  <w:style w:styleId="Heading6" w:type="paragraph">
    <w:name w:val="heading 6"/>
    <w:basedOn w:val="Normal"/>
    <w:next w:val="Normal"/>
    <w:uiPriority w:val="9"/>
    <w:semiHidden/>
    <w:unhideWhenUsed/>
    <w:qFormat/>
    <w:pPr>
      <w:keepNext/>
      <w:keepLines/>
      <w:spacing w:after="80" w:before="240"/>
      <w:outlineLvl w:val="5"/>
    </w:pPr>
    <w:rPr>
      <w:i/>
      <w:color w:val="66666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after="60"/>
    </w:pPr>
    <w:rPr>
      <w:sz w:val="52"/>
      <w:szCs w:val="52"/>
    </w:rPr>
  </w:style>
  <w:style w:styleId="Subtitle" w:type="paragraph">
    <w:name w:val="Subtitle"/>
    <w:basedOn w:val="Normal"/>
    <w:next w:val="Normal"/>
    <w:uiPriority w:val="11"/>
    <w:qFormat/>
    <w:pPr>
      <w:keepNext/>
      <w:keepLines/>
      <w:spacing w:after="320"/>
    </w:pPr>
    <w:rPr>
      <w:color w:val="666666"/>
      <w:sz w:val="30"/>
      <w:szCs w:val="30"/>
    </w:rPr>
  </w:style>
  <w:style w:styleId="LineNumber" w:type="character">
    <w:name w:val="line number"/>
    <w:basedOn w:val="DefaultParagraphFont"/>
    <w:uiPriority w:val="99"/>
    <w:semiHidden/>
    <w:unhideWhenUsed/>
    <w:rsid w:val="007220D1"/>
  </w:style>
  <w:style w:styleId="ListParagraph" w:type="paragraph">
    <w:name w:val="List Paragraph"/>
    <w:basedOn w:val="Normal"/>
    <w:uiPriority w:val="34"/>
    <w:qFormat/>
    <w:rsid w:val="008539A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6</Pages>
  <Words>2469</Words>
  <Characters>14076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2026-07-21T09:35:48Z</dcterms:created>
  <dcterms:modified xsi:type="dcterms:W3CDTF">2026-07-21T09:35:48Z</dcterms:modified>
</cp:coreProperties>
</file>

<file path=docProps/custom.xml><?xml version="1.0" encoding="utf-8"?>
<Properties xmlns="http://schemas.openxmlformats.org/officeDocument/2006/custom-properties" xmlns:vt="http://schemas.openxmlformats.org/officeDocument/2006/docPropsVTypes"/>
</file>