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незалежна-рецензія--2"/>
    <w:p>
      <w:pPr>
        <w:pStyle w:val="Heading1"/>
      </w:pPr>
      <w:r>
        <w:t xml:space="preserve">Незалежна рецензія № 2</w:t>
      </w:r>
    </w:p>
    <w:bookmarkStart w:id="9" w:name="фокус-рецензії"/>
    <w:p>
      <w:pPr>
        <w:pStyle w:val="Heading2"/>
      </w:pPr>
      <w:r>
        <w:t xml:space="preserve">Фокус рецензії</w:t>
      </w:r>
    </w:p>
    <w:p>
      <w:pPr>
        <w:pStyle w:val="FirstParagraph"/>
      </w:pPr>
      <w:r>
        <w:rPr>
          <w:b/>
          <w:bCs/>
        </w:rPr>
        <w:t xml:space="preserve">Назва дисертації:</w:t>
      </w:r>
      <w:r>
        <w:t xml:space="preserve"> </w:t>
      </w:r>
      <w:r>
        <w:t xml:space="preserve">«Інформаційна технологія виявлення аномальних кодів у фото- та відеооб’єктах вебресурсів»</w:t>
      </w:r>
      <w:r>
        <w:br/>
      </w:r>
      <w:r>
        <w:rPr>
          <w:b/>
          <w:bCs/>
        </w:rPr>
        <w:t xml:space="preserve">Аспекти оцінювання:</w:t>
      </w:r>
      <w:r>
        <w:t xml:space="preserve"> </w:t>
      </w:r>
      <w:r>
        <w:t xml:space="preserve">наукова новизна; теоретична та формальна коректність моделі й методів; відмежування від аналогів; логіка «мета — завдання — новизна — публікації — висновки»; актуальність і повнота літератури; значущість внеску.</w:t>
      </w:r>
      <w:r>
        <w:br/>
      </w:r>
      <w:r>
        <w:rPr>
          <w:b/>
          <w:bCs/>
        </w:rPr>
        <w:t xml:space="preserve">Матеріали:</w:t>
      </w:r>
      <w:r>
        <w:t xml:space="preserve"> </w:t>
      </w:r>
      <w:r>
        <w:t xml:space="preserve">актуальна редакція</w:t>
      </w:r>
      <w:r>
        <w:t xml:space="preserve"> </w:t>
      </w:r>
      <w:r>
        <w:rPr>
          <w:rStyle w:val="VerbatimChar"/>
        </w:rPr>
        <w:t xml:space="preserve">dissertation_reviewed.pdf</w:t>
      </w:r>
      <w:r>
        <w:t xml:space="preserve"> </w:t>
      </w:r>
      <w:r>
        <w:t xml:space="preserve">та її LaTeX-джерела. Інші рецензії під час підготовки цього висновку не використовувалися.</w:t>
      </w:r>
    </w:p>
    <w:bookmarkEnd w:id="9"/>
    <w:bookmarkStart w:id="10" w:name="резюме-та-загальна-оцінка"/>
    <w:p>
      <w:pPr>
        <w:pStyle w:val="Heading2"/>
      </w:pPr>
      <w:r>
        <w:t xml:space="preserve">Резюме та загальна оцінка</w:t>
      </w:r>
    </w:p>
    <w:p>
      <w:pPr>
        <w:pStyle w:val="FirstParagraph"/>
      </w:pPr>
      <w:r>
        <w:t xml:space="preserve">Дисертація пропонує простежувану схему аналізу мультимедійних об’єктів, у якій незмінне байтове подання, декодований вміст, структура контейнера та події оброблення мають зберігатися як різні, але пов’язані сутності. Найбільш переконливим результатом є не повна технологія виявлення аномального коду, а інженерно-методичний контракт походження свідчень та експериментальна оцінка структурної частини на контрольованих контейнерних змінах. Сильною рисою рукопису є чесне розмежування формалізованих, експериментально перевірених і неперевірених положень.</w:t>
      </w:r>
    </w:p>
    <w:p>
      <w:pPr>
        <w:pStyle w:val="BodyText"/>
      </w:pPr>
      <w:r>
        <w:t xml:space="preserve">Водночас чотири центральні положення наукової новизни мають нерівний доказовий статус. Поведінковий метод не реалізовано і не перевірено на причинно пов’язаних журналах; повний мультимодальний стан не сформовано; п’ятиетапну технологію не випробувано наскрізно у вебсистемі; позитивні мітки позначають контрольовано внесені структурні або статистичні зміни, а не аномальний програмний код. Формальна частина містить корисні типи даних та інваріанти, але низку основних відображень залишено абстрактними, а два правила агрегації потребують перегляду. Крім того, у самій матриці публікацій зафіксовано відсутність окремої публікації моделі та невстановлену тотожність опублікованих протоколів експериментам дисертації.</w:t>
      </w:r>
    </w:p>
    <w:p>
      <w:pPr>
        <w:pStyle w:val="BodyText"/>
      </w:pPr>
      <w:r>
        <w:t xml:space="preserve">З огляду на це робота має потенціал і містить добросовісно описаний дослідний матеріал, але в поточній редакції потребує</w:t>
      </w:r>
      <w:r>
        <w:t xml:space="preserve"> </w:t>
      </w:r>
      <w:r>
        <w:rPr>
          <w:b/>
          <w:bCs/>
        </w:rPr>
        <w:t xml:space="preserve">суттєвого доопрацювання</w:t>
      </w:r>
      <w:r>
        <w:t xml:space="preserve"> </w:t>
      </w:r>
      <w:r>
        <w:t xml:space="preserve">до остаточного висновку про готовність до захисту. Ключове завдання доопрацювання — привести силу назв результатів і загальних висновків у відповідність до фактично реалізованого та опублікованого внеску або доповнити роботу відсутньою перевіркою.</w:t>
      </w:r>
    </w:p>
    <w:bookmarkEnd w:id="10"/>
    <w:bookmarkStart w:id="11" w:name="сильні-сторони"/>
    <w:p>
      <w:pPr>
        <w:pStyle w:val="Heading2"/>
      </w:pPr>
      <w:r>
        <w:t xml:space="preserve">Сильні сторони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Чітке розмежування понять і доказових меж.</w:t>
      </w:r>
      <w:r>
        <w:t xml:space="preserve"> </w:t>
      </w:r>
      <w:r>
        <w:t xml:space="preserve">У вступі та моделі аномалію, аномальний код, приховану загрозу і шкідливий код не ототожнено (с. 19–21, 65–67). Це захищає від некоректного перенесення статистичного відхилення на твердження про виконання програми.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Простежуваність походження даних.</w:t>
      </w:r>
      <w:r>
        <w:t xml:space="preserve"> </w:t>
      </w:r>
      <w:r>
        <w:t xml:space="preserve">Спільний ідентифікатор, незмінний вхід, маска доступності, локалізації та відокремлення аналітичного стану від дії політики є корисними архітектурними принципами (с. 70–78, підрозділи 2.2–2.5).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Добросовісне подання негативних результатів.</w:t>
      </w:r>
      <w:r>
        <w:t xml:space="preserve"> </w:t>
      </w:r>
      <w:r>
        <w:t xml:space="preserve">Автор не приховує, що спектрально-зорова гілка на природних MP4 працювала поблизу випадкового рівня, а шлюз пропустив усі суто спектральні зміни незалежної серії (с. 133–138, 147–149).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Контроль спорідненості даних у внутрішньому циклі.</w:t>
      </w:r>
      <w:r>
        <w:t xml:space="preserve"> </w:t>
      </w:r>
      <w:r>
        <w:t xml:space="preserve">Поділ первинних груп до створення похідних і використання налаштувальної та перевірної частин є методично правильним кроком (с. 117–123).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Послідовне звуження висновків зовнішніми серіями.</w:t>
      </w:r>
      <w:r>
        <w:t xml:space="preserve"> </w:t>
      </w:r>
      <w:r>
        <w:t xml:space="preserve">Рукопис не прирівнює 10 000 похідних об’єктів до 10 000 незалежних джерел і окремо описує серію на нових пристроях (с. 113–120, 128–139).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Актуальний корпус літератури.</w:t>
      </w:r>
      <w:r>
        <w:t xml:space="preserve"> </w:t>
      </w:r>
      <w:r>
        <w:t xml:space="preserve">Більшість із 110 позицій належить до 2021–2026 рр.; охоплено сучасний стегоаналіз, відеостегоаналіз, ідентифікацію фрагментів і polyglot-файли (розділ 1, с. 31–64; список джерел, с. 157–172).</w:t>
      </w:r>
    </w:p>
    <w:bookmarkEnd w:id="11"/>
    <w:bookmarkStart w:id="25" w:name="major-comments"/>
    <w:p>
      <w:pPr>
        <w:pStyle w:val="Heading2"/>
      </w:pPr>
      <w:r>
        <w:t xml:space="preserve">Major comments</w:t>
      </w:r>
    </w:p>
    <w:bookmarkStart w:id="12" w:name="Xbf5d2483faed86e4969d1af40027def060b1266"/>
    <w:p>
      <w:pPr>
        <w:pStyle w:val="Heading3"/>
      </w:pPr>
      <w:r>
        <w:t xml:space="preserve">1. Відмежування новизни виконано від широких класів, а не від найближчих конкретних аналогів</w:t>
      </w:r>
    </w:p>
    <w:p>
      <w:pPr>
        <w:pStyle w:val="FirstParagraph"/>
      </w:pPr>
      <w:r>
        <w:rPr>
          <w:b/>
          <w:bCs/>
        </w:rPr>
        <w:t xml:space="preserve">Місце:</w:t>
      </w:r>
      <w:r>
        <w:t xml:space="preserve"> </w:t>
      </w:r>
      <w:r>
        <w:t xml:space="preserve">вступ, с. 25–26; розділ 1, особливо с. 55–61; табл. 3.1, с. 82–84.</w:t>
      </w:r>
    </w:p>
    <w:p>
      <w:pPr>
        <w:pStyle w:val="BodyText"/>
      </w:pPr>
      <w:r>
        <w:t xml:space="preserve">Таблиця 3.1 порівнює результати з «окремими стегоаналітичними детекторами», «аналізом контейнера», «незалежним аналізом журналу» та «послідовним застосуванням детекторів». Це корисна класифікація, але недостатня для доказу наукової новизни: найближчий аналог має бути конкретною моделлю, методом або технологією з визначеними входами, виходами, типом інтеграції, роботою з відсутніми модальностями, простежуваністю та експериментальним ефектом. Відмінність «спільний ідентифікатор + маска + локалізації + журнал» нині заявлена переважно описово.</w:t>
      </w:r>
    </w:p>
    <w:p>
      <w:pPr>
        <w:pStyle w:val="BodyText"/>
      </w:pPr>
      <w:r>
        <w:rPr>
          <w:b/>
          <w:bCs/>
        </w:rPr>
        <w:t xml:space="preserve">Чому це істотно:</w:t>
      </w:r>
      <w:r>
        <w:t xml:space="preserve"> </w:t>
      </w:r>
      <w:r>
        <w:t xml:space="preserve">без поелементного порівняння неможливо встановити, чи є результат новою моделлю/методом, чи адаптацією відомих принципів provenance, multimodal fusion, missing-modality handling, event correlation та audit logging до мультимедійного шлюзу.</w:t>
      </w:r>
    </w:p>
    <w:p>
      <w:pPr>
        <w:pStyle w:val="BodyText"/>
      </w:pPr>
      <w:r>
        <w:rPr>
          <w:b/>
          <w:bCs/>
        </w:rPr>
        <w:t xml:space="preserve">Необхідне доопрацювання:</w:t>
      </w:r>
      <w:r>
        <w:t xml:space="preserve"> </w:t>
      </w:r>
      <w:r>
        <w:t xml:space="preserve">сформувати таблицю 8–12 найближчих конкретних праць/систем з однаковими критеріями; окремо показати, якого елемента немає в кожному аналозі; для першого методу подати кількісне порівняння на спільних даних, а для неперевірених результатів прямо обмежити новизну рівнем формального контракту.</w:t>
      </w:r>
    </w:p>
    <w:bookmarkEnd w:id="12"/>
    <w:bookmarkStart w:id="13" w:name="Xf67f91459c497cb23ba2de124280ea15c581c71"/>
    <w:p>
      <w:pPr>
        <w:pStyle w:val="Heading3"/>
      </w:pPr>
      <w:r>
        <w:t xml:space="preserve">2. «Модель» наразі є переважно контрактом типів і походження, а не повністю визначеною формальною або прогностичною моделлю</w:t>
      </w:r>
    </w:p>
    <w:p>
      <w:pPr>
        <w:pStyle w:val="FirstParagraph"/>
      </w:pPr>
      <w:r>
        <w:rPr>
          <w:b/>
          <w:bCs/>
        </w:rPr>
        <w:t xml:space="preserve">Місце:</w:t>
      </w:r>
      <w:r>
        <w:t xml:space="preserve"> </w:t>
      </w:r>
      <w:r>
        <w:t xml:space="preserve">підрозділи 2.3–2.5, с. 73–80, формули (2.4)–(2.6).</w:t>
      </w:r>
    </w:p>
    <w:p>
      <w:pPr>
        <w:pStyle w:val="BodyText"/>
      </w:pPr>
      <w:r>
        <w:t xml:space="preserve">Функції інтеграції та рішення</w:t>
      </w:r>
      <w:r>
        <w:t xml:space="preserve"> </w:t>
      </w:r>
      <w:r>
        <w:rPr>
          <w:rStyle w:val="VerbatimChar"/>
        </w:rPr>
        <w:t xml:space="preserve">F_I</w:t>
      </w:r>
      <w:r>
        <w:t xml:space="preserve">,</w:t>
      </w:r>
      <w:r>
        <w:t xml:space="preserve"> </w:t>
      </w:r>
      <w:r>
        <w:rPr>
          <w:rStyle w:val="VerbatimChar"/>
        </w:rPr>
        <w:t xml:space="preserve">F_D</w:t>
      </w:r>
      <w:r>
        <w:t xml:space="preserve">,</w:t>
      </w:r>
      <w:r>
        <w:t xml:space="preserve"> </w:t>
      </w:r>
      <w:r>
        <w:rPr>
          <w:rStyle w:val="VerbatimChar"/>
        </w:rPr>
        <w:t xml:space="preserve">F_q</w:t>
      </w:r>
      <w:r>
        <w:t xml:space="preserve">,</w:t>
      </w:r>
      <w:r>
        <w:t xml:space="preserve"> </w:t>
      </w:r>
      <w:r>
        <w:rPr>
          <w:rStyle w:val="VerbatimChar"/>
        </w:rPr>
        <w:t xml:space="preserve">F_E</w:t>
      </w:r>
      <w:r>
        <w:t xml:space="preserve">, формування класових оцінок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і пояснення</w:t>
      </w:r>
      <w:r>
        <w:t xml:space="preserve"> </w:t>
      </w:r>
      <w:r>
        <w:rPr>
          <w:rStyle w:val="VerbatimChar"/>
        </w:rPr>
        <w:t xml:space="preserve">Π</w:t>
      </w:r>
      <w:r>
        <w:t xml:space="preserve"> </w:t>
      </w:r>
      <w:r>
        <w:t xml:space="preserve">не мають операційного означення. Задано області відображень і бажані інваріанти, але не алгоритм, систему аксіом, критерій оптимальності, доведення властивостей або повну реалізацію. Сам текст визнає, що без конфігурації формули визначають контракт, але не специфікацію запуску (с. 74).</w:t>
      </w:r>
    </w:p>
    <w:p>
      <w:pPr>
        <w:pStyle w:val="BodyText"/>
      </w:pPr>
      <w:r>
        <w:rPr>
          <w:b/>
          <w:bCs/>
        </w:rPr>
        <w:t xml:space="preserve">Чому це істотно:</w:t>
      </w:r>
      <w:r>
        <w:t xml:space="preserve"> </w:t>
      </w:r>
      <w:r>
        <w:t xml:space="preserve">на рівні PhD-положення слід однозначно визначити, у чому саме полягає модельний внесок і як він перевіряється. Інакше «модель мультимодального представлення» може бути сприйнята як схема даних або архітектурний шаблон.</w:t>
      </w:r>
    </w:p>
    <w:p>
      <w:pPr>
        <w:pStyle w:val="BodyText"/>
      </w:pPr>
      <w:r>
        <w:rPr>
          <w:b/>
          <w:bCs/>
        </w:rPr>
        <w:t xml:space="preserve">Необхідне доопрацювання:</w:t>
      </w:r>
      <w:r>
        <w:t xml:space="preserve"> </w:t>
      </w:r>
      <w:r>
        <w:t xml:space="preserve">або чітко перейменувати результат на формальну модель даних/контракт представлення і довести її властивості, або надати повні означення ключових функцій, інваріанти, контрприклади, процедуру перевірки та реалізований еталонний алгоритм.</w:t>
      </w:r>
    </w:p>
    <w:bookmarkEnd w:id="13"/>
    <w:bookmarkStart w:id="14" w:name="Xadc01ad8d139f5d4b5513ff035e5b2a349f8bba"/>
    <w:p>
      <w:pPr>
        <w:pStyle w:val="Heading3"/>
      </w:pPr>
      <w:r>
        <w:t xml:space="preserve">3. Правило інтегрального ризику має ризик подвійного врахування поведінкових даних і не узгоджене з класовим рішенням</w:t>
      </w:r>
    </w:p>
    <w:p>
      <w:pPr>
        <w:pStyle w:val="FirstParagraph"/>
      </w:pPr>
      <w:r>
        <w:rPr>
          <w:b/>
          <w:bCs/>
        </w:rPr>
        <w:t xml:space="preserve">Місце:</w:t>
      </w:r>
      <w:r>
        <w:t xml:space="preserve"> </w:t>
      </w:r>
      <w:r>
        <w:t xml:space="preserve">підрозділ 2.4, с. 75–77, формула (2.6); підрозділ 3.3, с. 104–106.</w:t>
      </w:r>
    </w:p>
    <w:p>
      <w:pPr>
        <w:pStyle w:val="BodyText"/>
      </w:pPr>
      <w:r>
        <w:t xml:space="preserve">У формулі (2.6) одночасно додаються</w:t>
      </w:r>
      <w:r>
        <w:t xml:space="preserve"> </w:t>
      </w:r>
      <w:r>
        <w:rPr>
          <w:rStyle w:val="VerbatimChar"/>
        </w:rPr>
        <w:t xml:space="preserve">ρ_b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Q_A</w:t>
      </w:r>
      <w:r>
        <w:t xml:space="preserve">, хоча обидві величини формуються з</w:t>
      </w:r>
      <w:r>
        <w:t xml:space="preserve"> </w:t>
      </w:r>
      <w:r>
        <w:rPr>
          <w:rStyle w:val="VerbatimChar"/>
        </w:rPr>
        <w:t xml:space="preserve">Z_b</w:t>
      </w:r>
      <w:r>
        <w:t xml:space="preserve"> </w:t>
      </w:r>
      <w:r>
        <w:t xml:space="preserve">та причинного контексту. Умов незалежності, ортогональності або ієрархічного розділення цих внесків не задано, тому одна поведінкова підстава потенційно враховується двічі. Ваги не встановлено, а калібрування для масок доступності не проведено. Додатково бінарний висновок визначається порогом</w:t>
      </w:r>
      <w:r>
        <w:t xml:space="preserve"> </w:t>
      </w:r>
      <w:r>
        <w:rPr>
          <w:rStyle w:val="VerbatimChar"/>
        </w:rPr>
        <w:t xml:space="preserve">ρ_A</w:t>
      </w:r>
      <w:r>
        <w:t xml:space="preserve">, тоді як конкретний клас — максимумом іншого вектора</w:t>
      </w:r>
      <w:r>
        <w:t xml:space="preserve"> </w:t>
      </w:r>
      <w:r>
        <w:rPr>
          <w:rStyle w:val="VerbatimChar"/>
        </w:rPr>
        <w:t xml:space="preserve">p</w:t>
      </w:r>
      <w:r>
        <w:t xml:space="preserve">; зв’язок між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ρ_A</w:t>
      </w:r>
      <w:r>
        <w:t xml:space="preserve"> </w:t>
      </w:r>
      <w:r>
        <w:t xml:space="preserve">формально не задано.</w:t>
      </w:r>
    </w:p>
    <w:p>
      <w:pPr>
        <w:pStyle w:val="BodyText"/>
      </w:pPr>
      <w:r>
        <w:rPr>
          <w:b/>
          <w:bCs/>
        </w:rPr>
        <w:t xml:space="preserve">Чому це істотно:</w:t>
      </w:r>
      <w:r>
        <w:t xml:space="preserve"> </w:t>
      </w:r>
      <w:r>
        <w:t xml:space="preserve">однакові спостереження можуть непрозоро посилювати ризик, а високий ризик може супроводжуватися довільним класом за майже рівномірного</w:t>
      </w:r>
      <w:r>
        <w:t xml:space="preserve"> </w:t>
      </w:r>
      <w:r>
        <w:rPr>
          <w:rStyle w:val="VerbatimChar"/>
        </w:rPr>
        <w:t xml:space="preserve">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Необхідне доопрацювання:</w:t>
      </w:r>
      <w:r>
        <w:t xml:space="preserve"> </w:t>
      </w:r>
      <w:r>
        <w:t xml:space="preserve">побудувати єдину ієрархічну схему рішення; виключити подвійний внесок або довести його необхідність; визначити зв’язок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ρ_A</w:t>
      </w:r>
      <w:r>
        <w:t xml:space="preserve">,</w:t>
      </w:r>
      <w:r>
        <w:t xml:space="preserve"> </w:t>
      </w:r>
      <w:r>
        <w:rPr>
          <w:rStyle w:val="VerbatimChar"/>
        </w:rPr>
        <w:t xml:space="preserve">c_A</w:t>
      </w:r>
      <w:r>
        <w:t xml:space="preserve">; провести калібрування та аналіз чутливості для кожної допустимої маски доступності.</w:t>
      </w:r>
    </w:p>
    <w:bookmarkEnd w:id="14"/>
    <w:bookmarkStart w:id="15" w:name="X8f7c46751bacb57405101b093f5e32b83e27f78"/>
    <w:p>
      <w:pPr>
        <w:pStyle w:val="Heading3"/>
      </w:pPr>
      <w:r>
        <w:t xml:space="preserve">4. Вагове агрегування відеокадрів є частково циклічним</w:t>
      </w:r>
    </w:p>
    <w:p>
      <w:pPr>
        <w:pStyle w:val="FirstParagraph"/>
      </w:pPr>
      <w:r>
        <w:rPr>
          <w:b/>
          <w:bCs/>
        </w:rPr>
        <w:t xml:space="preserve">Місце:</w:t>
      </w:r>
      <w:r>
        <w:t xml:space="preserve"> </w:t>
      </w:r>
      <w:r>
        <w:t xml:space="preserve">підрозділ 3.2, с. 97–98, формула (3.4).</w:t>
      </w:r>
    </w:p>
    <w:p>
      <w:pPr>
        <w:pStyle w:val="BodyText"/>
      </w:pPr>
      <w:r>
        <w:t xml:space="preserve">Вага кадру</w:t>
      </w:r>
      <w:r>
        <w:t xml:space="preserve"> </w:t>
      </w:r>
      <w:r>
        <w:rPr>
          <w:rStyle w:val="VerbatimChar"/>
        </w:rPr>
        <w:t xml:space="preserve">ω_j</w:t>
      </w:r>
      <w:r>
        <w:t xml:space="preserve"> </w:t>
      </w:r>
      <w:r>
        <w:t xml:space="preserve">формується з</w:t>
      </w:r>
      <w:r>
        <w:t xml:space="preserve"> </w:t>
      </w:r>
      <w:r>
        <w:rPr>
          <w:rStyle w:val="VerbatimChar"/>
        </w:rPr>
        <w:t xml:space="preserve">a_j</w:t>
      </w:r>
      <w:r>
        <w:t xml:space="preserve">, до якого вже входить покадрова оцінка</w:t>
      </w:r>
      <w:r>
        <w:t xml:space="preserve"> </w:t>
      </w:r>
      <w:r>
        <w:rPr>
          <w:rStyle w:val="VerbatimChar"/>
        </w:rPr>
        <w:t xml:space="preserve">ρ_{v,j}</w:t>
      </w:r>
      <w:r>
        <w:t xml:space="preserve">, після чого тими самими вагами повторно агрегується</w:t>
      </w:r>
      <w:r>
        <w:t xml:space="preserve"> </w:t>
      </w:r>
      <w:r>
        <w:rPr>
          <w:rStyle w:val="VerbatimChar"/>
        </w:rPr>
        <w:t xml:space="preserve">ρ_{v,j}</w:t>
      </w:r>
      <w:r>
        <w:t xml:space="preserve">. Це за конструкцією надає підвищену вагу великим оцінкам і може зміщувати підсумок угору навіть без незалежної підстави якості. Крім того, структурна причина відбору</w:t>
      </w:r>
      <w:r>
        <w:t xml:space="preserve"> </w:t>
      </w:r>
      <w:r>
        <w:rPr>
          <w:rStyle w:val="VerbatimChar"/>
        </w:rPr>
        <w:t xml:space="preserve">u_{j,c}</w:t>
      </w:r>
      <w:r>
        <w:t xml:space="preserve"> </w:t>
      </w:r>
      <w:r>
        <w:t xml:space="preserve">входить у вагу спектральної оцінки; отже, твердження, що структурна причина «не підвищує спектрально-зорової оцінки автоматично» (с. 97), не є строго правильним: вона може змінити агрегат через вагу.</w:t>
      </w:r>
    </w:p>
    <w:p>
      <w:pPr>
        <w:pStyle w:val="BodyText"/>
      </w:pPr>
      <w:r>
        <w:rPr>
          <w:b/>
          <w:bCs/>
        </w:rPr>
        <w:t xml:space="preserve">Необхідне доопрацювання:</w:t>
      </w:r>
      <w:r>
        <w:t xml:space="preserve"> </w:t>
      </w:r>
      <w:r>
        <w:t xml:space="preserve">визначати вагу лише з незалежних характеристик якості/покриття або порівняти поточну схему з рівними вагами, max/mean pooling і quality-only weighting на відокремлених даних; навести аналіз зміщення та стійкості.</w:t>
      </w:r>
    </w:p>
    <w:bookmarkEnd w:id="15"/>
    <w:bookmarkStart w:id="16" w:name="X7ca517fd4723cb0a1ed3a9981b5f8e450aeb068"/>
    <w:p>
      <w:pPr>
        <w:pStyle w:val="Heading3"/>
      </w:pPr>
      <w:r>
        <w:t xml:space="preserve">5. Метод поведінкового узгодження є центральним положенням новизни, але не має емпіричної перевірки</w:t>
      </w:r>
    </w:p>
    <w:p>
      <w:pPr>
        <w:pStyle w:val="FirstParagraph"/>
      </w:pPr>
      <w:r>
        <w:rPr>
          <w:b/>
          <w:bCs/>
        </w:rPr>
        <w:t xml:space="preserve">Місце:</w:t>
      </w:r>
      <w:r>
        <w:t xml:space="preserve"> </w:t>
      </w:r>
      <w:r>
        <w:t xml:space="preserve">підрозділ 3.3, с. 100–106; розділ 4, с. 137–139, 146–149; загальні висновки, с. 152–153.</w:t>
      </w:r>
    </w:p>
    <w:p>
      <w:pPr>
        <w:pStyle w:val="BodyText"/>
      </w:pPr>
      <w:r>
        <w:t xml:space="preserve">Причинно пов’язані журнали</w:t>
      </w:r>
      <w:r>
        <w:t xml:space="preserve"> </w:t>
      </w:r>
      <w:r>
        <w:rPr>
          <w:rStyle w:val="VerbatimChar"/>
        </w:rPr>
        <w:t xml:space="preserve">X_b</w:t>
      </w:r>
      <w:r>
        <w:t xml:space="preserve"> </w:t>
      </w:r>
      <w:r>
        <w:t xml:space="preserve">не сформовано, повне</w:t>
      </w:r>
      <w:r>
        <w:t xml:space="preserve"> </w:t>
      </w:r>
      <w:r>
        <w:rPr>
          <w:rStyle w:val="VerbatimChar"/>
        </w:rPr>
        <w:t xml:space="preserve">Z_b</w:t>
      </w:r>
      <w:r>
        <w:t xml:space="preserve">, кодувальник послідовностей і причинно-фазове зіставлення не реалізовано. Доступна технічна ознака не спрацювала у 4832 об’єктах, а форматно-адаптивний шлюз використовує лише статичні оцінки й формат. Отже, експерименти не перевіряють головну відмінність другого методу — причинне зіставлення статичної локалізації з подією того самого об’єкта.</w:t>
      </w:r>
    </w:p>
    <w:p>
      <w:pPr>
        <w:pStyle w:val="BodyText"/>
      </w:pPr>
      <w:r>
        <w:rPr>
          <w:b/>
          <w:bCs/>
        </w:rPr>
        <w:t xml:space="preserve">Чому це істотно:</w:t>
      </w:r>
      <w:r>
        <w:t xml:space="preserve"> </w:t>
      </w:r>
      <w:r>
        <w:t xml:space="preserve">формалізація майбутньої процедури не є достатньою підставою для твердження «запропоновано метод», якщо його функціональна властивість не показана навіть на контрольованому прикладі.</w:t>
      </w:r>
    </w:p>
    <w:p>
      <w:pPr>
        <w:pStyle w:val="BodyText"/>
      </w:pPr>
      <w:r>
        <w:rPr>
          <w:b/>
          <w:bCs/>
        </w:rPr>
        <w:t xml:space="preserve">Необхідне доопрацювання:</w:t>
      </w:r>
      <w:r>
        <w:t xml:space="preserve"> </w:t>
      </w:r>
      <w:r>
        <w:t xml:space="preserve">сформувати безпечний контрольований набір парних журналів для штатного та зміненого оброблення; реалізувати повний причинно-фазовий допуск; порівняти з часовим зіставленням без причинного фільтра та з незалежним аналізом журналу. Якщо це неможливо до захисту, знизити статус результату до формалізованого напряму/концептуальної процедури та відповідно змінити новизну, завдання і висновки.</w:t>
      </w:r>
    </w:p>
    <w:bookmarkEnd w:id="16"/>
    <w:bookmarkStart w:id="17" w:name="Xd05871edbc78f0fd861cf37b146b92bf4b92142"/>
    <w:p>
      <w:pPr>
        <w:pStyle w:val="Heading3"/>
      </w:pPr>
      <w:r>
        <w:t xml:space="preserve">6. Емпіричний об’єкт не відповідає назві та головному предметному твердженню</w:t>
      </w:r>
    </w:p>
    <w:p>
      <w:pPr>
        <w:pStyle w:val="FirstParagraph"/>
      </w:pPr>
      <w:r>
        <w:rPr>
          <w:b/>
          <w:bCs/>
        </w:rPr>
        <w:t xml:space="preserve">Місце:</w:t>
      </w:r>
      <w:r>
        <w:t xml:space="preserve"> </w:t>
      </w:r>
      <w:r>
        <w:t xml:space="preserve">мета експериментів, с. 113–114; формування міток, с. 117–120; табл. 4.16, с. 148–149; загальні висновки, с. 150–156.</w:t>
      </w:r>
    </w:p>
    <w:p>
      <w:pPr>
        <w:pStyle w:val="BodyText"/>
      </w:pPr>
      <w:r>
        <w:t xml:space="preserve">Позитивна мітка означає структурну або статистичну зміну: хвостові байти, блок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 зміну синього каналу, LSB або хвилькову модифікацію. Не перевірено програмну семантику, команду, активацію, несанкціоновану дію або причинний наслідок у вебресурсі. Автор це коректно визнає, але назва роботи, предмет, основні формулювання новизни та перше речення загальних висновків усе одно створюють сильніше враження — «виявлення аномальних кодів».</w:t>
      </w:r>
    </w:p>
    <w:p>
      <w:pPr>
        <w:pStyle w:val="BodyText"/>
      </w:pPr>
      <w:r>
        <w:rPr>
          <w:b/>
          <w:bCs/>
        </w:rPr>
        <w:t xml:space="preserve">Необхідне доопрацювання:</w:t>
      </w:r>
      <w:r>
        <w:t xml:space="preserve"> </w:t>
      </w:r>
      <w:r>
        <w:t xml:space="preserve">або додати безпечні контрольовані сценарії з неушкоджувальним виконуваним навантаженням/командою та простежуваною реакцією компонента, або звузити назву, мету, предмет і висновки до виявлення контрольованих структурних та спектрально-статистичних аномалій у мультимедійних контейнерах.</w:t>
      </w:r>
    </w:p>
    <w:bookmarkEnd w:id="17"/>
    <w:bookmarkStart w:id="18" w:name="Xae1b0736cea590cf89757bf66c977e5abeda14e"/>
    <w:p>
      <w:pPr>
        <w:pStyle w:val="Heading3"/>
      </w:pPr>
      <w:r>
        <w:t xml:space="preserve">7. Кількість незалежних природних джерел недостатня для заявленої значущості форматного перенесення</w:t>
      </w:r>
    </w:p>
    <w:p>
      <w:pPr>
        <w:pStyle w:val="FirstParagraph"/>
      </w:pPr>
      <w:r>
        <w:rPr>
          <w:b/>
          <w:bCs/>
        </w:rPr>
        <w:t xml:space="preserve">Місце:</w:t>
      </w:r>
      <w:r>
        <w:t xml:space="preserve"> </w:t>
      </w:r>
      <w:r>
        <w:t xml:space="preserve">с. 118–120, 128–130, 148–149; табл. 4.16.</w:t>
      </w:r>
    </w:p>
    <w:p>
      <w:pPr>
        <w:pStyle w:val="BodyText"/>
      </w:pPr>
      <w:r>
        <w:t xml:space="preserve">Великомасштабна серія походить із восьми записів двох пристроїв, незалежна підтверджувальна — з восьми записів чотирьох пристроїв. 10 000 і 2000 фізичних об’єктів є форматно-сценарними похідними. Автор правильно визнає залежність, але умовні інтервали на рівні фрагментів можуть залишатися надто вузькими відносно невизначеності перенесення між пристроями, сценами й кодерами. Показовим є розкид ефекту шлюзу за чотирма пристроями від 0 до 0,1462 (с. 138).</w:t>
      </w:r>
    </w:p>
    <w:p>
      <w:pPr>
        <w:pStyle w:val="BodyText"/>
      </w:pPr>
      <w:r>
        <w:rPr>
          <w:b/>
          <w:bCs/>
        </w:rPr>
        <w:t xml:space="preserve">Необхідне доопрацювання:</w:t>
      </w:r>
      <w:r>
        <w:t xml:space="preserve"> </w:t>
      </w:r>
      <w:r>
        <w:t xml:space="preserve">основний статистичний висновок будувати на рівні пристрою/джерела; додати leave-one-device-out або ієрархічну модель; збільшити кількість незалежних пристроїв, сцен і кодекових профілів; для нинішніх даних подавати широкі source-level інтервали й не використовувати масштаб похідних як аргумент значущості.</w:t>
      </w:r>
    </w:p>
    <w:bookmarkEnd w:id="18"/>
    <w:bookmarkStart w:id="19" w:name="Xbc0dd0ab847736fd7ed32494913d1d8926074e6"/>
    <w:p>
      <w:pPr>
        <w:pStyle w:val="Heading3"/>
      </w:pPr>
      <w:r>
        <w:t xml:space="preserve">8. Немає достатнього кількісного порівняння з сучасними базовими методами на тих самих даних</w:t>
      </w:r>
    </w:p>
    <w:p>
      <w:pPr>
        <w:pStyle w:val="FirstParagraph"/>
      </w:pPr>
      <w:r>
        <w:rPr>
          <w:b/>
          <w:bCs/>
        </w:rPr>
        <w:t xml:space="preserve">Місце:</w:t>
      </w:r>
      <w:r>
        <w:t xml:space="preserve"> </w:t>
      </w:r>
      <w:r>
        <w:t xml:space="preserve">розділ 1, с. 44–55; підрозділ 4.3, с. 137–138.</w:t>
      </w:r>
    </w:p>
    <w:p>
      <w:pPr>
        <w:pStyle w:val="BodyText"/>
      </w:pPr>
      <w:r>
        <w:t xml:space="preserve">У багатоформатній серії зіставлено три класичні статистики та їх поєднання зі структурним рішенням. Це не замінює порівняння з найближчими сучасними методами, обговореними в огляді: залишковими/трансформерними стегоаналізаторами, file-fragment/polyglot detector, відкритим Aletheia або сучасною decision-level fusion моделлю. Через це кількісна перевага чи хоча б конкурентоспроможність першого методу відносно рівня галузі не встановлена.</w:t>
      </w:r>
    </w:p>
    <w:p>
      <w:pPr>
        <w:pStyle w:val="BodyText"/>
      </w:pPr>
      <w:r>
        <w:rPr>
          <w:b/>
          <w:bCs/>
        </w:rPr>
        <w:t xml:space="preserve">Необхідне доопрацювання:</w:t>
      </w:r>
      <w:r>
        <w:t xml:space="preserve"> </w:t>
      </w:r>
      <w:r>
        <w:t xml:space="preserve">обрати репрезентативний набір baseline-методів для кожної гілки та один baseline злиття, навчити/налаштувати за тим самим груповим протоколом і порівняти не лише точкові метрики, а й типи помилок, ресурсні витрати та переносимість.</w:t>
      </w:r>
    </w:p>
    <w:bookmarkEnd w:id="19"/>
    <w:bookmarkStart w:id="20" w:name="Xf8eaab92fe985beab012b12ba65cdf77a3a353f"/>
    <w:p>
      <w:pPr>
        <w:pStyle w:val="Heading3"/>
      </w:pPr>
      <w:r>
        <w:t xml:space="preserve">9. Відтворюваність заявленого методу не забезпечена самим рукописом або доступним архівом</w:t>
      </w:r>
    </w:p>
    <w:p>
      <w:pPr>
        <w:pStyle w:val="FirstParagraph"/>
      </w:pPr>
      <w:r>
        <w:rPr>
          <w:b/>
          <w:bCs/>
        </w:rPr>
        <w:t xml:space="preserve">Місце:</w:t>
      </w:r>
      <w:r>
        <w:t xml:space="preserve"> </w:t>
      </w:r>
      <w:r>
        <w:t xml:space="preserve">табл. 3.4, с. 94–95; опис моделей, с. 119–123; загальні висновки, с. 153.</w:t>
      </w:r>
    </w:p>
    <w:p>
      <w:pPr>
        <w:pStyle w:val="BodyText"/>
      </w:pPr>
      <w:r>
        <w:t xml:space="preserve">Не наведено локальне вікно й крок, межі гістограм, ядра й нормування залишкових фільтрів, тип вейвлета, рівень DWT, вибір DCT/DWT-коефіцієнтів і локальний поріг. Також у тексті відсутні повні коефіцієнти логістичних моделей та шлюзу. Висновки повідомляють про збережені код, параметри й реєстри, але не наводять публічного/долученого ідентифікатора пакета, DOI, архіву або однозначної інструкції відтворення.</w:t>
      </w:r>
    </w:p>
    <w:p>
      <w:pPr>
        <w:pStyle w:val="BodyText"/>
      </w:pPr>
      <w:r>
        <w:rPr>
          <w:b/>
          <w:bCs/>
        </w:rPr>
        <w:t xml:space="preserve">Необхідне доопрацювання:</w:t>
      </w:r>
      <w:r>
        <w:t xml:space="preserve"> </w:t>
      </w:r>
      <w:r>
        <w:t xml:space="preserve">долучити версійований машинозчитуваний пакет із кодом, exact environment lockfile, усіма параметрами</w:t>
      </w:r>
      <w:r>
        <w:t xml:space="preserve"> </w:t>
      </w:r>
      <w:r>
        <w:rPr>
          <w:rStyle w:val="VerbatimChar"/>
        </w:rPr>
        <w:t xml:space="preserve">Θ_H</w:t>
      </w:r>
      <w:r>
        <w:t xml:space="preserve">, коефіцієнтами</w:t>
      </w:r>
      <w:r>
        <w:t xml:space="preserve"> </w:t>
      </w:r>
      <w:r>
        <w:rPr>
          <w:rStyle w:val="VerbatimChar"/>
        </w:rPr>
        <w:t xml:space="preserve">β</w:t>
      </w:r>
      <w:r>
        <w:t xml:space="preserve">,</w:t>
      </w:r>
      <w:r>
        <w:t xml:space="preserve"> </w:t>
      </w:r>
      <w:r>
        <w:rPr>
          <w:rStyle w:val="VerbatimChar"/>
        </w:rPr>
        <w:t xml:space="preserve">γ</w:t>
      </w:r>
      <w:r>
        <w:t xml:space="preserve">, 73 параметрами шлюзу, порогами, seed, реєстрами походження, контрольними сумами та сценарієм повного повтору; у тексті дати постійне посилання й data/code availability statement.</w:t>
      </w:r>
    </w:p>
    <w:bookmarkEnd w:id="20"/>
    <w:bookmarkStart w:id="21" w:name="X3c7354372cb9ab00f37487325bfb5d0ea060373"/>
    <w:p>
      <w:pPr>
        <w:pStyle w:val="Heading3"/>
      </w:pPr>
      <w:r>
        <w:t xml:space="preserve">10. Потрібна однозначна відповідність між формальною схемою ознак і реальною експериментальною реалізацією</w:t>
      </w:r>
    </w:p>
    <w:p>
      <w:pPr>
        <w:pStyle w:val="FirstParagraph"/>
      </w:pPr>
      <w:r>
        <w:rPr>
          <w:b/>
          <w:bCs/>
        </w:rPr>
        <w:t xml:space="preserve">Місце:</w:t>
      </w:r>
      <w:r>
        <w:t xml:space="preserve"> </w:t>
      </w:r>
      <w:r>
        <w:t xml:space="preserve">підрозділ 3.2, с. 89–98; опис експериментальних ознак, с. 119–120.</w:t>
      </w:r>
    </w:p>
    <w:p>
      <w:pPr>
        <w:pStyle w:val="BodyText"/>
      </w:pPr>
      <w:r>
        <w:t xml:space="preserve">У методичному розділі</w:t>
      </w:r>
      <w:r>
        <w:t xml:space="preserve"> </w:t>
      </w:r>
      <w:r>
        <w:rPr>
          <w:rStyle w:val="VerbatimChar"/>
        </w:rPr>
        <w:t xml:space="preserve">Z_s</w:t>
      </w:r>
      <w:r>
        <w:t xml:space="preserve"> </w:t>
      </w:r>
      <w:r>
        <w:t xml:space="preserve">описано через сім змістових груп, вектор форматних розбіжностей та застосовність, а</w:t>
      </w:r>
      <w:r>
        <w:t xml:space="preserve"> </w:t>
      </w:r>
      <w:r>
        <w:rPr>
          <w:rStyle w:val="VerbatimChar"/>
        </w:rPr>
        <w:t xml:space="preserve">Z_v</w:t>
      </w:r>
      <w:r>
        <w:t xml:space="preserve"> </w:t>
      </w:r>
      <w:r>
        <w:t xml:space="preserve">— через локальні, DCT, DWT, залишкові та часові представлення. В експерименті використано 9 структурних, 16 спектрально-зорових і 24 спільні ознаки. Немає наскрізної таблиці, яка показує, яка теоретична компонента реалізована якою конкретною ознакою, з яким нормуванням, для яких форматів і в якій серії.</w:t>
      </w:r>
    </w:p>
    <w:p>
      <w:pPr>
        <w:pStyle w:val="BodyText"/>
      </w:pPr>
      <w:r>
        <w:rPr>
          <w:b/>
          <w:bCs/>
        </w:rPr>
        <w:t xml:space="preserve">Необхідне доопрацювання:</w:t>
      </w:r>
      <w:r>
        <w:t xml:space="preserve"> </w:t>
      </w:r>
      <w:r>
        <w:t xml:space="preserve">додати матрицю «формальна компонента → програмна ознака → параметр → формат → серія → доказовий статус». Це також покаже, чи експеримент справді перевіряє метод розділу 3, а не споріднену контрольну реалізацію.</w:t>
      </w:r>
    </w:p>
    <w:bookmarkEnd w:id="21"/>
    <w:bookmarkStart w:id="22" w:name="Xf8c349a552229c506623f44f12a0c2ac350f74b"/>
    <w:p>
      <w:pPr>
        <w:pStyle w:val="Heading3"/>
      </w:pPr>
      <w:r>
        <w:t xml:space="preserve">11. Ланцюг «наукова новизна — публікації — особистий внесок» документально не замкнений</w:t>
      </w:r>
    </w:p>
    <w:p>
      <w:pPr>
        <w:pStyle w:val="FirstParagraph"/>
      </w:pPr>
      <w:r>
        <w:rPr>
          <w:b/>
          <w:bCs/>
        </w:rPr>
        <w:t xml:space="preserve">Місце:</w:t>
      </w:r>
      <w:r>
        <w:t xml:space="preserve"> </w:t>
      </w:r>
      <w:r>
        <w:t xml:space="preserve">вступ, с. 28–29; додаток А, с. 173–175, особливо табл. А.1.</w:t>
      </w:r>
    </w:p>
    <w:p>
      <w:pPr>
        <w:pStyle w:val="BodyText"/>
      </w:pPr>
      <w:r>
        <w:t xml:space="preserve">У табл. А.1 прямо зазначено: для моделі мультимодального представлення немає встановленої окремої публікації; для першого методу тотожність протоколів публікацій і дисертації потребує звірення; для поведінкового методу немає повного журналу; для п’ятиетапної технології відповідність опублікованої технології всім етапам також потребує звірення. Конкретний особистий внесок у спільних працях не наведено.</w:t>
      </w:r>
    </w:p>
    <w:p>
      <w:pPr>
        <w:pStyle w:val="BodyText"/>
      </w:pPr>
      <w:r>
        <w:rPr>
          <w:b/>
          <w:bCs/>
        </w:rPr>
        <w:t xml:space="preserve">Чому це істотно:</w:t>
      </w:r>
      <w:r>
        <w:t xml:space="preserve"> </w:t>
      </w:r>
      <w:r>
        <w:t xml:space="preserve">чотири положення новизни повинні бути простежувані не лише до розділів рукопису, а й до апробованих публікацій та документованого внеску здобувача.</w:t>
      </w:r>
    </w:p>
    <w:p>
      <w:pPr>
        <w:pStyle w:val="BodyText"/>
      </w:pPr>
      <w:r>
        <w:rPr>
          <w:b/>
          <w:bCs/>
        </w:rPr>
        <w:t xml:space="preserve">Необхідне доопрацювання:</w:t>
      </w:r>
      <w:r>
        <w:t xml:space="preserve"> </w:t>
      </w:r>
      <w:r>
        <w:t xml:space="preserve">надати авторські довідки/погоджений розподіл внеску; для кожного положення вказати конкретні сторінки, формули, алгоритми й експерименти публікації; пояснити статус моделі, для якої публікацію не встановлено; за потреби скоригувати перелік праць, що містять основні результати.</w:t>
      </w:r>
    </w:p>
    <w:bookmarkEnd w:id="22"/>
    <w:bookmarkStart w:id="23" w:name="Xfc4224675ff0495d033ac36c26ddf35f28701bf"/>
    <w:p>
      <w:pPr>
        <w:pStyle w:val="Heading3"/>
      </w:pPr>
      <w:r>
        <w:t xml:space="preserve">12. Логіка «мета — завдання — новизна — висновки» формально повна, але доказово асиметрична</w:t>
      </w:r>
    </w:p>
    <w:p>
      <w:pPr>
        <w:pStyle w:val="FirstParagraph"/>
      </w:pPr>
      <w:r>
        <w:rPr>
          <w:b/>
          <w:bCs/>
        </w:rPr>
        <w:t xml:space="preserve">Місце:</w:t>
      </w:r>
      <w:r>
        <w:t xml:space="preserve"> </w:t>
      </w:r>
      <w:r>
        <w:t xml:space="preserve">мета й завдання, с. 21–23; новизна, с. 25–27; загальні висновки, с. 150–156.</w:t>
      </w:r>
    </w:p>
    <w:p>
      <w:pPr>
        <w:pStyle w:val="BodyText"/>
      </w:pPr>
      <w:r>
        <w:t xml:space="preserve">У загальних висновках сказано, що одержано результати відповідно до восьми завдань, однак завдання 3, 5 і 6 завершуються переважно формалізацією; повний контур моделі, поведінковий метод і промислова технологія не перевірені. Завдання 8 експериментально охоплює головно статичну частину першого методу та окремий статичний шлюз, але не основну функцію другого методу. Формули «розроблено», «запропоновано», «набула подальшого розвитку» у новизні сильніші за підсумкові докази.</w:t>
      </w:r>
    </w:p>
    <w:p>
      <w:pPr>
        <w:pStyle w:val="BodyText"/>
      </w:pPr>
      <w:r>
        <w:rPr>
          <w:b/>
          <w:bCs/>
        </w:rPr>
        <w:t xml:space="preserve">Необхідне доопрацювання:</w:t>
      </w:r>
      <w:r>
        <w:t xml:space="preserve"> </w:t>
      </w:r>
      <w:r>
        <w:t xml:space="preserve">для кожного завдання задати критерій завершеності й фактичний результат; розділити «формально сформовано», «реалізовано», «експериментально перевірено»; не починати висновки твердженням про повне виконання всіх завдань без цієї кваліфікації.</w:t>
      </w:r>
    </w:p>
    <w:bookmarkEnd w:id="23"/>
    <w:bookmarkStart w:id="24" w:name="X3b6e8b22f992303968d7ffcb8190d3798b77702"/>
    <w:p>
      <w:pPr>
        <w:pStyle w:val="Heading3"/>
      </w:pPr>
      <w:r>
        <w:t xml:space="preserve">13. Практичне значення п’ятиетапної інформаційної технології не підтверджено наскрізним прототипом вебресурсу</w:t>
      </w:r>
    </w:p>
    <w:p>
      <w:pPr>
        <w:pStyle w:val="FirstParagraph"/>
      </w:pPr>
      <w:r>
        <w:rPr>
          <w:b/>
          <w:bCs/>
        </w:rPr>
        <w:t xml:space="preserve">Місце:</w:t>
      </w:r>
      <w:r>
        <w:t xml:space="preserve"> </w:t>
      </w:r>
      <w:r>
        <w:t xml:space="preserve">практичне значення, с. 27–28; підрозділ 3.4, с. 106–112; розділ 4, с. 140–149; загальні висновки, с. 153–156.</w:t>
      </w:r>
    </w:p>
    <w:p>
      <w:pPr>
        <w:pStyle w:val="BodyText"/>
      </w:pPr>
      <w:r>
        <w:t xml:space="preserve">Ресурсні вимірювання охоплюють дослідний конвеєр, але не приймання через реальний вебшлюз, чергу, зберігання незмінного входу, causally linked logging, політику, реконструкцію, реєстрацію та повторну перевірку як один цикл. Немає демонстрації інтеграції з конкретним вебстеком, end-to-end latency, throughput під паралельним навантаженням і поведінки за часткової відмови.</w:t>
      </w:r>
    </w:p>
    <w:p>
      <w:pPr>
        <w:pStyle w:val="BodyText"/>
      </w:pPr>
      <w:r>
        <w:rPr>
          <w:b/>
          <w:bCs/>
        </w:rPr>
        <w:t xml:space="preserve">Необхідне доопрацювання:</w:t>
      </w:r>
      <w:r>
        <w:t xml:space="preserve"> </w:t>
      </w:r>
      <w:r>
        <w:t xml:space="preserve">реалізувати мінімальний наскрізний стенд і перевірити хоча б один повний сценарій для кожного типізованого стану; до цього часу характеризувати результат як архітектуру/проєкт технології, а не експериментально підтверджену інформаційну технологію.</w:t>
      </w:r>
    </w:p>
    <w:bookmarkEnd w:id="24"/>
    <w:bookmarkEnd w:id="25"/>
    <w:bookmarkStart w:id="26" w:name="minor-comments"/>
    <w:p>
      <w:pPr>
        <w:pStyle w:val="Heading2"/>
      </w:pPr>
      <w:r>
        <w:t xml:space="preserve">Minor comments</w:t>
      </w:r>
    </w:p>
    <w:p>
      <w:pPr>
        <w:numPr>
          <w:ilvl w:val="0"/>
          <w:numId w:val="1002"/>
        </w:numPr>
      </w:pPr>
      <w:r>
        <w:t xml:space="preserve">На с. 13–14 і 173–174 назви двох статей, віднесених до основних результатів, тематично ширші за фото- та відеооб’єкти. Доцільно після кожної позиції коротко вказати, яке саме положення дисертації вона містить.</w:t>
      </w:r>
    </w:p>
    <w:p>
      <w:pPr>
        <w:numPr>
          <w:ilvl w:val="0"/>
          <w:numId w:val="1002"/>
        </w:numPr>
      </w:pPr>
      <w:r>
        <w:t xml:space="preserve">Термін «незалежна перевірка» (с. 129, 138) краще замінити на «зовнішня відкладена перевірка зафіксованої моделі», якщо дані, код і аналіз контролювали ті самі дослідники. «Незалежна» зазвичай може означати також незалежну команду.</w:t>
      </w:r>
    </w:p>
    <w:p>
      <w:pPr>
        <w:numPr>
          <w:ilvl w:val="0"/>
          <w:numId w:val="1002"/>
        </w:numPr>
      </w:pPr>
      <w:r>
        <w:t xml:space="preserve">У розділі 1 прямо сказано, що огляд не є формально систематичним (с. 32). Варто додати хоча б бази, дату пошуку, ключові запити та критерії відбору, навіть якщо PRISMA-статус не заявляється.</w:t>
      </w:r>
    </w:p>
    <w:p>
      <w:pPr>
        <w:numPr>
          <w:ilvl w:val="0"/>
          <w:numId w:val="1002"/>
        </w:numPr>
      </w:pPr>
      <w:r>
        <w:t xml:space="preserve">Огляд літератури переважає роботами про стеганографію/стегоаналіз. Потрібні окремі підрозділи про provenance, missing modalities, security-event correlation, causal tracing та auditability, оскільки саме ці елементи оголошено відмінною рисою моделі.</w:t>
      </w:r>
    </w:p>
    <w:p>
      <w:pPr>
        <w:numPr>
          <w:ilvl w:val="0"/>
          <w:numId w:val="1002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q_I=1−mean(|Δ|)</w:t>
      </w:r>
      <w:r>
        <w:t xml:space="preserve"> </w:t>
      </w:r>
      <w:r>
        <w:t xml:space="preserve">(с. 105) слід явно зазначити, що однаково низькі та однаково високі оцінки дають однакову «узгодженість»; назва показника не повинна створювати враження сили підтримки гіпотези.</w:t>
      </w:r>
    </w:p>
    <w:p>
      <w:pPr>
        <w:numPr>
          <w:ilvl w:val="0"/>
          <w:numId w:val="1002"/>
        </w:numPr>
      </w:pPr>
      <w:r>
        <w:t xml:space="preserve">Довірчі інтервали слід супроводити точним зазначенням їх типу (percentile, basic, BCa) та способом стратифікації в кожній серії.</w:t>
      </w:r>
    </w:p>
    <w:p>
      <w:pPr>
        <w:numPr>
          <w:ilvl w:val="0"/>
          <w:numId w:val="1002"/>
        </w:numPr>
      </w:pPr>
      <w:r>
        <w:t xml:space="preserve">Для численних серій, метрик і форматних зіставлень потрібне чітке розмежування первинних і вторинних гіпотез та політика множинності. Зараз поправка Бонферроні є лише у форматному допуску.</w:t>
      </w:r>
    </w:p>
    <w:p>
      <w:pPr>
        <w:numPr>
          <w:ilvl w:val="0"/>
          <w:numId w:val="1002"/>
        </w:numPr>
      </w:pPr>
      <w:r>
        <w:t xml:space="preserve">Показник</w:t>
      </w:r>
      <w:r>
        <w:t xml:space="preserve"> </w:t>
      </w:r>
      <w:r>
        <w:rPr>
          <w:rStyle w:val="VerbatimChar"/>
        </w:rPr>
        <w:t xml:space="preserve">K_E</w:t>
      </w:r>
      <w:r>
        <w:t xml:space="preserve"> </w:t>
      </w:r>
      <w:r>
        <w:t xml:space="preserve">(с. 126–127, 140–141) варто винести до вторинного/розвідувального аналізу ще виразніше: його ваги визначено експертно після первинного перегляду якості, а ресурсна база шлюзу не є незалежною.</w:t>
      </w:r>
    </w:p>
    <w:p>
      <w:pPr>
        <w:numPr>
          <w:ilvl w:val="0"/>
          <w:numId w:val="1002"/>
        </w:numPr>
      </w:pPr>
      <w:r>
        <w:t xml:space="preserve">Для основного внутрішнього й ресурсного циклів не зафіксовано повний апаратний паспорт (с. 119–120). Це потрібно виправити або вилучити міжапаратні тлумачення часу.</w:t>
      </w:r>
    </w:p>
    <w:p>
      <w:pPr>
        <w:numPr>
          <w:ilvl w:val="0"/>
          <w:numId w:val="1002"/>
        </w:numPr>
      </w:pPr>
      <w:r>
        <w:t xml:space="preserve">Формулювання «достовірність виявлення» для</w:t>
      </w:r>
      <w:r>
        <w:t xml:space="preserve"> </w:t>
      </w:r>
      <w:r>
        <w:rPr>
          <w:rStyle w:val="VerbatimChar"/>
        </w:rPr>
        <w:t xml:space="preserve">K_1</w:t>
      </w:r>
      <w:r>
        <w:t xml:space="preserve"> </w:t>
      </w:r>
      <w:r>
        <w:t xml:space="preserve">краще замінити на конкретну назву метрики — середню за джерелами збалансовану правильність.</w:t>
      </w:r>
    </w:p>
    <w:p>
      <w:pPr>
        <w:numPr>
          <w:ilvl w:val="0"/>
          <w:numId w:val="1002"/>
        </w:numPr>
      </w:pPr>
      <w:r>
        <w:t xml:space="preserve">У табл. 3.4 (с. 94–95) і висновках (с. 153) є напруження між «параметри не збережено в рукописі» та «параметри моделей збережено». Слід однозначно сказати, які артефакти існують, де вони доступні та до якої серії належать.</w:t>
      </w:r>
    </w:p>
    <w:p>
      <w:pPr>
        <w:numPr>
          <w:ilvl w:val="0"/>
          <w:numId w:val="1002"/>
        </w:numPr>
      </w:pPr>
      <w:r>
        <w:t xml:space="preserve">Для всіх форматів бажано навести не лише назву контейнера, а точний кодек/профіль і версію енкодера; WebM та MP4 самі по собі не задають спосіб кодування відеопотоку.</w:t>
      </w:r>
    </w:p>
    <w:bookmarkEnd w:id="26"/>
    <w:bookmarkStart w:id="27" w:name="питання-автору"/>
    <w:p>
      <w:pPr>
        <w:pStyle w:val="Heading2"/>
      </w:pPr>
      <w:r>
        <w:t xml:space="preserve">Питання автору</w:t>
      </w:r>
    </w:p>
    <w:p>
      <w:pPr>
        <w:numPr>
          <w:ilvl w:val="0"/>
          <w:numId w:val="1003"/>
        </w:numPr>
      </w:pPr>
      <w:r>
        <w:t xml:space="preserve">Який</w:t>
      </w:r>
      <w:r>
        <w:t xml:space="preserve"> </w:t>
      </w:r>
      <w:r>
        <w:rPr>
          <w:b/>
          <w:bCs/>
        </w:rPr>
        <w:t xml:space="preserve">один конкретний найближчий аналог</w:t>
      </w:r>
      <w:r>
        <w:t xml:space="preserve"> </w:t>
      </w:r>
      <w:r>
        <w:t xml:space="preserve">має найподібніші входи, маску доступності, provenance і event correlation, та яка точна формальна відмінність запропонованої моделі від нього?</w:t>
      </w:r>
    </w:p>
    <w:p>
      <w:pPr>
        <w:numPr>
          <w:ilvl w:val="0"/>
          <w:numId w:val="1003"/>
        </w:numPr>
      </w:pPr>
      <w:r>
        <w:t xml:space="preserve">Чи вважає автор модель розділу 2 формальною моделлю даних, архітектурним контрактом чи прогностичною моделлю? Яке перевірюване твердження є її центральним результатом?</w:t>
      </w:r>
    </w:p>
    <w:p>
      <w:pPr>
        <w:numPr>
          <w:ilvl w:val="0"/>
          <w:numId w:val="1003"/>
        </w:numPr>
      </w:pPr>
      <w:r>
        <w:t xml:space="preserve">Як запобігається подвійне врахування одного поведінкового свідчення через</w:t>
      </w:r>
      <w:r>
        <w:t xml:space="preserve"> </w:t>
      </w:r>
      <w:r>
        <w:rPr>
          <w:rStyle w:val="VerbatimChar"/>
        </w:rPr>
        <w:t xml:space="preserve">ρ_b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Q_A</w:t>
      </w:r>
      <w:r>
        <w:t xml:space="preserve"> </w:t>
      </w:r>
      <w:r>
        <w:t xml:space="preserve">у формулі (2.6)?</w:t>
      </w:r>
    </w:p>
    <w:p>
      <w:pPr>
        <w:numPr>
          <w:ilvl w:val="0"/>
          <w:numId w:val="1003"/>
        </w:numPr>
      </w:pPr>
      <w:r>
        <w:t xml:space="preserve">Чому покадрова оцінка</w:t>
      </w:r>
      <w:r>
        <w:t xml:space="preserve"> </w:t>
      </w:r>
      <w:r>
        <w:rPr>
          <w:rStyle w:val="VerbatimChar"/>
        </w:rPr>
        <w:t xml:space="preserve">ρ_{v,j}</w:t>
      </w:r>
      <w:r>
        <w:t xml:space="preserve"> </w:t>
      </w:r>
      <w:r>
        <w:t xml:space="preserve">входить у вагу, якою знову агрегується</w:t>
      </w:r>
      <w:r>
        <w:t xml:space="preserve"> </w:t>
      </w:r>
      <w:r>
        <w:rPr>
          <w:rStyle w:val="VerbatimChar"/>
        </w:rPr>
        <w:t xml:space="preserve">ρ_{v,j}</w:t>
      </w:r>
      <w:r>
        <w:t xml:space="preserve">? Чи порівнювалася ця схема з вагами, незалежними від цільової оцінки?</w:t>
      </w:r>
    </w:p>
    <w:p>
      <w:pPr>
        <w:numPr>
          <w:ilvl w:val="0"/>
          <w:numId w:val="1003"/>
        </w:numPr>
      </w:pPr>
      <w:r>
        <w:t xml:space="preserve">Де можна отримати повний відтворюваний пакет: код, конфігурації, коефіцієнти, 73 параметри шлюзу, реєстри, хеші та сценарій повтору?</w:t>
      </w:r>
    </w:p>
    <w:p>
      <w:pPr>
        <w:numPr>
          <w:ilvl w:val="0"/>
          <w:numId w:val="1003"/>
        </w:numPr>
      </w:pPr>
      <w:r>
        <w:t xml:space="preserve">Які публікації містять повну модель мультимодального представлення та п’ятиетапну технологію саме в редакції дисертації? Як документовано особистий внесок здобувача?</w:t>
      </w:r>
    </w:p>
    <w:p>
      <w:pPr>
        <w:numPr>
          <w:ilvl w:val="0"/>
          <w:numId w:val="1003"/>
        </w:numPr>
      </w:pPr>
      <w:r>
        <w:t xml:space="preserve">Чи є можливість до захисту сформувати хоча б один контрольований набір причинно пов’язаних журналів, на якому другий метод змінює рішення і перевершує просте часове зіставлення?</w:t>
      </w:r>
    </w:p>
    <w:p>
      <w:pPr>
        <w:numPr>
          <w:ilvl w:val="0"/>
          <w:numId w:val="1003"/>
        </w:numPr>
      </w:pPr>
      <w:r>
        <w:t xml:space="preserve">Якщо виконуваний або командний вміст не буде експериментально перевірено, чи готовий автор звузити назву та основні положення до «структурних і спектрально-статистичних аномалій»?</w:t>
      </w:r>
    </w:p>
    <w:bookmarkEnd w:id="27"/>
    <w:bookmarkStart w:id="28" w:name="рекомендація"/>
    <w:p>
      <w:pPr>
        <w:pStyle w:val="Heading2"/>
      </w:pPr>
      <w:r>
        <w:t xml:space="preserve">Рекомендація</w:t>
      </w:r>
    </w:p>
    <w:p>
      <w:pPr>
        <w:pStyle w:val="FirstParagraph"/>
      </w:pPr>
      <w:r>
        <w:rPr>
          <w:b/>
          <w:bCs/>
        </w:rPr>
        <w:t xml:space="preserve">Рекомендація: суттєве доопрацювання перед остаточним допуском до захисту.</w:t>
      </w:r>
    </w:p>
    <w:p>
      <w:pPr>
        <w:pStyle w:val="BodyText"/>
      </w:pPr>
      <w:r>
        <w:t xml:space="preserve">Мінімальними умовами позитивного остаточного висновку вважаю:</w:t>
      </w:r>
    </w:p>
    <w:p>
      <w:pPr>
        <w:pStyle w:val="Compact"/>
        <w:numPr>
          <w:ilvl w:val="0"/>
          <w:numId w:val="1004"/>
        </w:numPr>
      </w:pPr>
      <w:r>
        <w:t xml:space="preserve">конкретне відмежування кожного положення новизни від найближчих аналогів;</w:t>
      </w:r>
    </w:p>
    <w:p>
      <w:pPr>
        <w:pStyle w:val="Compact"/>
        <w:numPr>
          <w:ilvl w:val="0"/>
          <w:numId w:val="1004"/>
        </w:numPr>
      </w:pPr>
      <w:r>
        <w:t xml:space="preserve">усунення формальних проблем інтеграції ризику та відеоагрегації;</w:t>
      </w:r>
    </w:p>
    <w:p>
      <w:pPr>
        <w:pStyle w:val="Compact"/>
        <w:numPr>
          <w:ilvl w:val="0"/>
          <w:numId w:val="1004"/>
        </w:numPr>
      </w:pPr>
      <w:r>
        <w:t xml:space="preserve">однозначне визначення статусу моделі й другого методу;</w:t>
      </w:r>
    </w:p>
    <w:p>
      <w:pPr>
        <w:pStyle w:val="Compact"/>
        <w:numPr>
          <w:ilvl w:val="0"/>
          <w:numId w:val="1004"/>
        </w:numPr>
      </w:pPr>
      <w:r>
        <w:t xml:space="preserve">приведення назви, мети та висновків у відповідність до експериментального об’єкта або додавання сценаріїв з аномальним кодом і причинними подіями;</w:t>
      </w:r>
    </w:p>
    <w:p>
      <w:pPr>
        <w:pStyle w:val="Compact"/>
        <w:numPr>
          <w:ilvl w:val="0"/>
          <w:numId w:val="1004"/>
        </w:numPr>
      </w:pPr>
      <w:r>
        <w:t xml:space="preserve">повне документування відтворюваності;</w:t>
      </w:r>
    </w:p>
    <w:p>
      <w:pPr>
        <w:pStyle w:val="Compact"/>
        <w:numPr>
          <w:ilvl w:val="0"/>
          <w:numId w:val="1004"/>
        </w:numPr>
      </w:pPr>
      <w:r>
        <w:t xml:space="preserve">замикання зв’язку між положеннями новизни, публікаціями та особистим внеском.</w:t>
      </w:r>
    </w:p>
    <w:p>
      <w:pPr>
        <w:pStyle w:val="FirstParagraph"/>
      </w:pPr>
      <w:r>
        <w:t xml:space="preserve">Після цих змін сильні сторони роботи — простежуваність, явне моделювання недоступних спостережень, груповий дизайн експериментів і чесне подання негативних результатів — можуть утворити переконливий внесок. У поточній версії найбільш доведеною є статична структурна діагностика контрольованих контейнерних змін; повний мультимодальний метод і п’ятиетапна технологія залишаються переважно формалізованою програмою подальшої перевірки.</w:t>
      </w:r>
    </w:p>
    <w:bookmarkEnd w:id="28"/>
    <w:bookmarkEnd w:id="29"/>
    <w:sectPr w:rsidR="006F3AFB" w:rsidRPr="004C1203" w:rsidSect="000569DC">
      <w:pgSz w:h="15840" w:w="12240"/>
      <w:pgMar w:bottom="1440" w:footer="720" w:gutter="0" w:header="720" w:left="1440" w:right="1440" w:top="1440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BDD"/>
    <w:rsid w:val="00020589"/>
    <w:rsid w:val="00026B37"/>
    <w:rsid w:val="000521C7"/>
    <w:rsid w:val="000569DC"/>
    <w:rsid w:val="0006612E"/>
    <w:rsid w:val="000A6FFA"/>
    <w:rsid w:val="000C313B"/>
    <w:rsid w:val="000D295F"/>
    <w:rsid w:val="000E6BA0"/>
    <w:rsid w:val="000F139B"/>
    <w:rsid w:val="0012159D"/>
    <w:rsid w:val="00140F3B"/>
    <w:rsid w:val="00142770"/>
    <w:rsid w:val="0014411D"/>
    <w:rsid w:val="00153D1A"/>
    <w:rsid w:val="001A7A23"/>
    <w:rsid w:val="001D6BDD"/>
    <w:rsid w:val="001E13F6"/>
    <w:rsid w:val="00267AB6"/>
    <w:rsid w:val="002D4959"/>
    <w:rsid w:val="002E71E5"/>
    <w:rsid w:val="002E76DC"/>
    <w:rsid w:val="002F0338"/>
    <w:rsid w:val="0033232E"/>
    <w:rsid w:val="00342874"/>
    <w:rsid w:val="003538B0"/>
    <w:rsid w:val="003A1082"/>
    <w:rsid w:val="003A6D6E"/>
    <w:rsid w:val="00450DF0"/>
    <w:rsid w:val="004605CD"/>
    <w:rsid w:val="00472D9C"/>
    <w:rsid w:val="00491C84"/>
    <w:rsid w:val="00497DAB"/>
    <w:rsid w:val="004C1203"/>
    <w:rsid w:val="004D0F4C"/>
    <w:rsid w:val="004E26B1"/>
    <w:rsid w:val="004E2D25"/>
    <w:rsid w:val="004F3137"/>
    <w:rsid w:val="00527657"/>
    <w:rsid w:val="00562A98"/>
    <w:rsid w:val="005900DF"/>
    <w:rsid w:val="00590790"/>
    <w:rsid w:val="005C16CE"/>
    <w:rsid w:val="005E1C17"/>
    <w:rsid w:val="006025E9"/>
    <w:rsid w:val="0061227C"/>
    <w:rsid w:val="00620C34"/>
    <w:rsid w:val="006226F2"/>
    <w:rsid w:val="00630FDA"/>
    <w:rsid w:val="00662C90"/>
    <w:rsid w:val="00664279"/>
    <w:rsid w:val="006853B4"/>
    <w:rsid w:val="00696417"/>
    <w:rsid w:val="006A2464"/>
    <w:rsid w:val="006A51F0"/>
    <w:rsid w:val="006A6608"/>
    <w:rsid w:val="006D30AC"/>
    <w:rsid w:val="006F3864"/>
    <w:rsid w:val="006F3AFB"/>
    <w:rsid w:val="00703607"/>
    <w:rsid w:val="007220D1"/>
    <w:rsid w:val="00762878"/>
    <w:rsid w:val="007A7062"/>
    <w:rsid w:val="007C4F9F"/>
    <w:rsid w:val="00805921"/>
    <w:rsid w:val="00830F5B"/>
    <w:rsid w:val="00841F7A"/>
    <w:rsid w:val="008539A8"/>
    <w:rsid w:val="008742DC"/>
    <w:rsid w:val="008867AD"/>
    <w:rsid w:val="008A38D7"/>
    <w:rsid w:val="008B3E18"/>
    <w:rsid w:val="008D1B87"/>
    <w:rsid w:val="008E0BE2"/>
    <w:rsid w:val="00905DA6"/>
    <w:rsid w:val="00916B40"/>
    <w:rsid w:val="00944DB9"/>
    <w:rsid w:val="009670AE"/>
    <w:rsid w:val="009E05A8"/>
    <w:rsid w:val="009F0B2F"/>
    <w:rsid w:val="00A16C52"/>
    <w:rsid w:val="00A67D7B"/>
    <w:rsid w:val="00A761F6"/>
    <w:rsid w:val="00AB45B0"/>
    <w:rsid w:val="00AE2D87"/>
    <w:rsid w:val="00B440AF"/>
    <w:rsid w:val="00B50055"/>
    <w:rsid w:val="00B523F3"/>
    <w:rsid w:val="00B621FA"/>
    <w:rsid w:val="00B72124"/>
    <w:rsid w:val="00B72D95"/>
    <w:rsid w:val="00B9041E"/>
    <w:rsid w:val="00C06DA0"/>
    <w:rsid w:val="00C3130E"/>
    <w:rsid w:val="00C6773A"/>
    <w:rsid w:val="00C73E97"/>
    <w:rsid w:val="00C772B3"/>
    <w:rsid w:val="00C94F2A"/>
    <w:rsid w:val="00CA427B"/>
    <w:rsid w:val="00CB76D3"/>
    <w:rsid w:val="00CC16E8"/>
    <w:rsid w:val="00D071C2"/>
    <w:rsid w:val="00D379CF"/>
    <w:rsid w:val="00D41A22"/>
    <w:rsid w:val="00DA5EE3"/>
    <w:rsid w:val="00DC53DD"/>
    <w:rsid w:val="00E12AE4"/>
    <w:rsid w:val="00E704DE"/>
    <w:rsid w:val="00E74A60"/>
    <w:rsid w:val="00EA7D15"/>
    <w:rsid w:val="00EC32D7"/>
    <w:rsid w:val="00EC77E1"/>
    <w:rsid w:val="00ED3A41"/>
    <w:rsid w:val="00EF6B6D"/>
    <w:rsid w:val="00F01020"/>
    <w:rsid w:val="00F23F4C"/>
    <w:rsid w:val="00F40828"/>
    <w:rsid w:val="00F41C50"/>
    <w:rsid w:val="00F46310"/>
    <w:rsid w:val="00F66750"/>
    <w:rsid w:val="00F876D7"/>
    <w:rsid w:val="00FA2C40"/>
    <w:rsid w:val="00FA69C0"/>
    <w:rsid w:val="00FF131E"/>
  </w:rsids>
  <w:themeFontLang w:val="uk-U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uk-UA" w:val="en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12159D"/>
  </w:style>
  <w:style w:styleId="Heading1" w:type="paragraph">
    <w:name w:val="heading 1"/>
    <w:basedOn w:val="Normal"/>
    <w:next w:val="Normal"/>
    <w:uiPriority w:val="9"/>
    <w:qFormat/>
    <w:rsid w:val="006D30AC"/>
    <w:pPr>
      <w:keepNext/>
      <w:keepLines/>
      <w:spacing w:after="120" w:before="120"/>
      <w:outlineLvl w:val="0"/>
    </w:pPr>
    <w:rPr>
      <w:sz w:val="32"/>
      <w:szCs w:val="40"/>
    </w:rPr>
  </w:style>
  <w:style w:styleId="Heading2" w:type="paragraph">
    <w:name w:val="heading 2"/>
    <w:basedOn w:val="Normal"/>
    <w:next w:val="Normal"/>
    <w:uiPriority w:val="9"/>
    <w:unhideWhenUsed/>
    <w:qFormat/>
    <w:rsid w:val="006D30AC"/>
    <w:pPr>
      <w:keepNext/>
      <w:keepLines/>
      <w:spacing w:after="120" w:before="120"/>
      <w:outlineLvl w:val="1"/>
    </w:pPr>
    <w:rPr>
      <w:sz w:val="28"/>
      <w:szCs w:val="32"/>
    </w:rPr>
  </w:style>
  <w:style w:styleId="Heading3" w:type="paragraph">
    <w:name w:val="heading 3"/>
    <w:basedOn w:val="Normal"/>
    <w:next w:val="Normal"/>
    <w:uiPriority w:val="9"/>
    <w:semiHidden/>
    <w:unhideWhenUsed/>
    <w:qFormat/>
    <w:pPr>
      <w:keepNext/>
      <w:keepLines/>
      <w:spacing w:after="80" w:before="320"/>
      <w:outlineLvl w:val="2"/>
    </w:pPr>
    <w:rPr>
      <w:color w:val="434343"/>
      <w:sz w:val="28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3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4"/>
    </w:pPr>
    <w:rPr>
      <w:color w:val="666666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5"/>
    </w:pPr>
    <w:rPr>
      <w:i/>
      <w:color w:val="66666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styleId="Subtitle" w:type="paragraph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styleId="LineNumber" w:type="character">
    <w:name w:val="line number"/>
    <w:basedOn w:val="DefaultParagraphFont"/>
    <w:uiPriority w:val="99"/>
    <w:semiHidden/>
    <w:unhideWhenUsed/>
    <w:rsid w:val="007220D1"/>
  </w:style>
  <w:style w:styleId="ListParagraph" w:type="paragraph">
    <w:name w:val="List Paragraph"/>
    <w:basedOn w:val="Normal"/>
    <w:uiPriority w:val="34"/>
    <w:qFormat/>
    <w:rsid w:val="008539A8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2469</Words>
  <Characters>14076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2026-07-21T09:36:06Z</dcterms:created>
  <dcterms:modified xsi:type="dcterms:W3CDTF">2026-07-21T09:36:06Z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