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7b3d5c61e74222be7728a2cf6019d533241b05"/>
    <w:p>
      <w:pPr>
        <w:pStyle w:val="Heading1"/>
      </w:pPr>
      <w:r>
        <w:t xml:space="preserve">Незалежна рецензія № 3: структура, академічна мова та оформлення дисертації</w:t>
      </w:r>
    </w:p>
    <w:p>
      <w:pPr>
        <w:pStyle w:val="FirstParagraph"/>
      </w:pPr>
      <w:r>
        <w:rPr>
          <w:b/>
          <w:bCs/>
        </w:rPr>
        <w:t xml:space="preserve">Дисертація:</w:t>
      </w:r>
      <w:r>
        <w:t xml:space="preserve"> </w:t>
      </w:r>
      <w:r>
        <w:t xml:space="preserve">Денисюк Дмитро Олександрович, «Інформаційна технологія виявлення аномальних кодів у фото- та відеооб’єктах вебресурсів»</w:t>
      </w:r>
      <w:r>
        <w:br/>
      </w:r>
      <w:r>
        <w:rPr>
          <w:b/>
          <w:bCs/>
        </w:rPr>
        <w:t xml:space="preserve">Спеціальність:</w:t>
      </w:r>
      <w:r>
        <w:t xml:space="preserve"> </w:t>
      </w:r>
      <w:r>
        <w:t xml:space="preserve">126 «Інформаційні системи та технології»</w:t>
      </w:r>
      <w:r>
        <w:br/>
      </w:r>
      <w:r>
        <w:rPr>
          <w:b/>
          <w:bCs/>
        </w:rPr>
        <w:t xml:space="preserve">Рецензійний фокус:</w:t>
      </w:r>
      <w:r>
        <w:t xml:space="preserve"> </w:t>
      </w:r>
      <w:r>
        <w:t xml:space="preserve">структура рукопису, академічна мова, формули й позначення, таблиці та рисунки, анотації, бібліографія, внутрішня узгодженість і формальні вимоги до дисертації доктора філософії.</w:t>
      </w:r>
      <w:r>
        <w:br/>
      </w:r>
      <w:r>
        <w:rPr>
          <w:b/>
          <w:bCs/>
        </w:rPr>
        <w:t xml:space="preserve">Версія, яку розглянуто:</w:t>
      </w:r>
      <w:r>
        <w:t xml:space="preserve"> </w:t>
      </w:r>
      <w:r>
        <w:rPr>
          <w:rStyle w:val="VerbatimChar"/>
        </w:rPr>
        <w:t xml:space="preserve">dissertation_reviewed.pdf</w:t>
      </w:r>
      <w:r>
        <w:t xml:space="preserve">, 176 сторінок, дата створення PDF 21.07.2026; актуальні LaTeX-джерела з папки</w:t>
      </w:r>
      <w:r>
        <w:t xml:space="preserve"> </w:t>
      </w:r>
      <w:r>
        <w:rPr>
          <w:rStyle w:val="VerbatimChar"/>
        </w:rPr>
        <w:t xml:space="preserve">title</w:t>
      </w:r>
      <w:r>
        <w:t xml:space="preserve">.</w:t>
      </w:r>
      <w:r>
        <w:br/>
      </w:r>
      <w:r>
        <w:rPr>
          <w:b/>
          <w:bCs/>
        </w:rPr>
        <w:t xml:space="preserve">Примітка щодо незалежності:</w:t>
      </w:r>
      <w:r>
        <w:t xml:space="preserve"> </w:t>
      </w:r>
      <w:r>
        <w:t xml:space="preserve">інші рецензії, файли</w:t>
      </w:r>
      <w:r>
        <w:t xml:space="preserve"> </w:t>
      </w:r>
      <w:r>
        <w:rPr>
          <w:rStyle w:val="VerbatimChar"/>
        </w:rPr>
        <w:t xml:space="preserve">review_*.md</w:t>
      </w:r>
      <w:r>
        <w:t xml:space="preserve"> </w:t>
      </w:r>
      <w:r>
        <w:t xml:space="preserve">та висновки інших рецензентів не використовувалися.</w:t>
      </w:r>
    </w:p>
    <w:bookmarkStart w:id="12" w:name="нормативна-й-технічна-основа-перевірки"/>
    <w:p>
      <w:pPr>
        <w:pStyle w:val="Heading2"/>
      </w:pPr>
      <w:r>
        <w:t xml:space="preserve">Нормативна й технічна основа перевірки</w:t>
      </w:r>
    </w:p>
    <w:p>
      <w:pPr>
        <w:pStyle w:val="FirstParagraph"/>
      </w:pPr>
      <w:r>
        <w:t xml:space="preserve">Формальну частину звірено з чинними станом на 21.07.2026</w:t>
      </w:r>
      <w:r>
        <w:t xml:space="preserve"> </w:t>
      </w:r>
      <w:hyperlink r:id="rId9">
        <w:r>
          <w:rPr>
            <w:rStyle w:val="Hyperlink"/>
          </w:rPr>
          <w:t xml:space="preserve">Вимогами до оформлення дисертації, затвердженими наказом МОН України від 12.01.2017 № 40</w:t>
        </w:r>
      </w:hyperlink>
      <w:r>
        <w:t xml:space="preserve">, а також із</w:t>
      </w:r>
      <w:r>
        <w:t xml:space="preserve"> </w:t>
      </w:r>
      <w:hyperlink r:id="rId10">
        <w:r>
          <w:rPr>
            <w:rStyle w:val="Hyperlink"/>
          </w:rPr>
          <w:t xml:space="preserve">Порядком присудження ступеня доктора філософії, затвердженим постановою КМУ від 12.01.2022 № 44</w:t>
        </w:r>
      </w:hyperlink>
      <w:r>
        <w:t xml:space="preserve">. Для вимог щодо особистого внеску в співавторські публікації враховано зміни, внесені</w:t>
      </w:r>
      <w:r>
        <w:t xml:space="preserve"> </w:t>
      </w:r>
      <w:hyperlink r:id="rId11">
        <w:r>
          <w:rPr>
            <w:rStyle w:val="Hyperlink"/>
          </w:rPr>
          <w:t xml:space="preserve">постановою КМУ від 03.05.2024 № 507</w:t>
        </w:r>
      </w:hyperlink>
      <w:r>
        <w:t xml:space="preserve">.</w:t>
      </w:r>
    </w:p>
    <w:p>
      <w:pPr>
        <w:pStyle w:val="BodyText"/>
      </w:pPr>
      <w:r>
        <w:t xml:space="preserve">Усі 176 сторінок PDF було відрендерено та переглянуто у зведених аркушах; ключові сторінки титулу, анотацій, змісту, вступу, початків розділів, формул, таблиць, рисунків, бібліографії та додатка додатково перевірено у підвищеній роздільності. У PDF не виявлено обрізаного тексту, накладань, чорних блоків, зламаних шрифтів або таблиць, що виходять за межі сторінки. Контрольна збірка поточних джерел завершилася без переповнених блоків, невизначених посилань і невизначених цитувань, але з 219 попередженнями</w:t>
      </w:r>
      <w:r>
        <w:t xml:space="preserve"> </w:t>
      </w:r>
      <w:r>
        <w:rPr>
          <w:rStyle w:val="VerbatimChar"/>
        </w:rPr>
        <w:t xml:space="preserve">Underfull hbox</w:t>
      </w:r>
      <w:r>
        <w:t xml:space="preserve"> </w:t>
      </w:r>
      <w:r>
        <w:t xml:space="preserve">та, істотніше, дала 177 сторінок замість 176 у наданому PDF.</w:t>
      </w:r>
    </w:p>
    <w:bookmarkEnd w:id="12"/>
    <w:bookmarkStart w:id="13" w:name="резюме-й-загальна-оцінка"/>
    <w:p>
      <w:pPr>
        <w:pStyle w:val="Heading2"/>
      </w:pPr>
      <w:r>
        <w:t xml:space="preserve">Резюме й загальна оцінка</w:t>
      </w:r>
    </w:p>
    <w:p>
      <w:pPr>
        <w:pStyle w:val="FirstParagraph"/>
      </w:pPr>
      <w:r>
        <w:t xml:space="preserve">Рукопис має чітку чотирироздільну архітектуру, повний набір основних структурних елементів, коректний базовий формат сторінки A4, належні поля, 14-пунктовий основний шрифт, півтора інтервали, послідовні заголовки, підписи й наскрізні внутрішні посилання. Особливо позитивно оцінюю свідоме розмежування аномалії, аномального коду, прихованої загрози та шкідливого коду, а також систематичне позначення меж експериментального підтвердження. Українська й англійська анотації загалом узгоджені за змістом і числами.</w:t>
      </w:r>
    </w:p>
    <w:p>
      <w:pPr>
        <w:pStyle w:val="BodyText"/>
      </w:pPr>
      <w:r>
        <w:t xml:space="preserve">Водночас документ ще не готовий до подання як остаточна дисертація. Найсерйозніші недоліки мають формальний та внутрішньо-редакційний характер: PDF не відтворюється з поточних джерел; у вступі неправильно зазначено загальний обсяг і кількість таблиць; є помилкова нумерація «Таблиця 0.2»; конкретний особистий внесок у співавторські праці прямо залишено невстановленим; форма участі в апробаційних заходах не наведена; центральне положення новизни не має встановленого публікаційного відповідника. Крім того, багатий математичний апарат не підтримано повним переліком позначень, а частину ключових функцій залишено на рівні абстрактних відображень без операційної специфікації.</w:t>
      </w:r>
    </w:p>
    <w:p>
      <w:pPr>
        <w:pStyle w:val="BodyText"/>
      </w:pPr>
      <w:r>
        <w:rPr>
          <w:b/>
          <w:bCs/>
        </w:rPr>
        <w:t xml:space="preserve">Підсумкова рекомендація: істотне доопрацювання (major revisions) і повторна формальна перевірка перед поданням до разової спеціалізованої вченої ради.</w:t>
      </w:r>
      <w:r>
        <w:t xml:space="preserve"> </w:t>
      </w:r>
      <w:r>
        <w:t xml:space="preserve">Це не рекомендація відхилити роботу за тематикою; це висновок про неготовність саме поточної редакції до офіційного подання.</w:t>
      </w:r>
    </w:p>
    <w:bookmarkEnd w:id="13"/>
    <w:bookmarkStart w:id="14" w:name="сильні-сторони"/>
    <w:p>
      <w:pPr>
        <w:pStyle w:val="Heading2"/>
      </w:pPr>
      <w:r>
        <w:t xml:space="preserve">Сильні сторони</w:t>
      </w:r>
    </w:p>
    <w:p>
      <w:pPr>
        <w:pStyle w:val="Compact"/>
        <w:numPr>
          <w:ilvl w:val="0"/>
          <w:numId w:val="1001"/>
        </w:numPr>
      </w:pPr>
      <w:r>
        <w:rPr>
          <w:b/>
          <w:bCs/>
        </w:rPr>
        <w:t xml:space="preserve">Повна й логічна макроструктура.</w:t>
      </w:r>
      <w:r>
        <w:t xml:space="preserve"> </w:t>
      </w:r>
      <w:r>
        <w:t xml:space="preserve">Титул, двомовні анотації, список публікацій, зміст, перелік скорочень, вступ, чотири розділи, загальні висновки, бібліографія і додаток розміщено у зрозумілій послідовності; основні структурні елементи починаються з нових сторінок.</w:t>
      </w:r>
    </w:p>
    <w:p>
      <w:pPr>
        <w:pStyle w:val="Compact"/>
        <w:numPr>
          <w:ilvl w:val="0"/>
          <w:numId w:val="1001"/>
        </w:numPr>
      </w:pPr>
      <w:r>
        <w:rPr>
          <w:b/>
          <w:bCs/>
        </w:rPr>
        <w:t xml:space="preserve">Візуально стабільний макет.</w:t>
      </w:r>
      <w:r>
        <w:t xml:space="preserve"> </w:t>
      </w:r>
      <w:r>
        <w:t xml:space="preserve">Поля 30/15/20/20 мм, шрифт, абзацний відступ, міжрядковий інтервал, заголовки й нумерація сторінок виглядають послідовно. Усі оглянуті сторінки читаються, підписи не відриваються від об’єктів, широкі таблиці коректно переведені в альбомний формат.</w:t>
      </w:r>
    </w:p>
    <w:p>
      <w:pPr>
        <w:pStyle w:val="Compact"/>
        <w:numPr>
          <w:ilvl w:val="0"/>
          <w:numId w:val="1001"/>
        </w:numPr>
      </w:pPr>
      <w:r>
        <w:rPr>
          <w:b/>
          <w:bCs/>
        </w:rPr>
        <w:t xml:space="preserve">Добра доказова дисципліна.</w:t>
      </w:r>
      <w:r>
        <w:t xml:space="preserve"> </w:t>
      </w:r>
      <w:r>
        <w:t xml:space="preserve">Автор не прирівнює статистичне відхилення до доведеної загрози, окремо позначає перевірені, частково перевірені та формалізовані складники (стор. 23–24, 146, 150–156).</w:t>
      </w:r>
    </w:p>
    <w:p>
      <w:pPr>
        <w:pStyle w:val="Compact"/>
        <w:numPr>
          <w:ilvl w:val="0"/>
          <w:numId w:val="1001"/>
        </w:numPr>
      </w:pPr>
      <w:r>
        <w:rPr>
          <w:b/>
          <w:bCs/>
        </w:rPr>
        <w:t xml:space="preserve">Внутрішні посилання технічно справні.</w:t>
      </w:r>
      <w:r>
        <w:t xml:space="preserve"> </w:t>
      </w:r>
      <w:r>
        <w:t xml:space="preserve">Зміст, нумерація розділів, формул, рисунків і таблиць переважно узгоджені; контрольна збірка не показала невизначених посилань або цитувань.</w:t>
      </w:r>
    </w:p>
    <w:p>
      <w:pPr>
        <w:pStyle w:val="Compact"/>
        <w:numPr>
          <w:ilvl w:val="0"/>
          <w:numId w:val="1001"/>
        </w:numPr>
      </w:pPr>
      <w:r>
        <w:rPr>
          <w:b/>
          <w:bCs/>
        </w:rPr>
        <w:t xml:space="preserve">Двомовні анотації змістово близькі.</w:t>
      </w:r>
      <w:r>
        <w:t xml:space="preserve"> </w:t>
      </w:r>
      <w:r>
        <w:t xml:space="preserve">Ключові числові результати, межі інтерпретації й терміни передано в обох версіях без помітних числових суперечностей (стор. 2–12).</w:t>
      </w:r>
    </w:p>
    <w:p>
      <w:pPr>
        <w:pStyle w:val="Compact"/>
        <w:numPr>
          <w:ilvl w:val="0"/>
          <w:numId w:val="1001"/>
        </w:numPr>
      </w:pPr>
      <w:r>
        <w:rPr>
          <w:b/>
          <w:bCs/>
        </w:rPr>
        <w:t xml:space="preserve">Рисунки є авторськими схемами, а не декоративними вставками.</w:t>
      </w:r>
      <w:r>
        <w:t xml:space="preserve"> </w:t>
      </w:r>
      <w:r>
        <w:t xml:space="preserve">Вони підтримують логіку дослідження, походження даних і послідовність технології; стиль схем у розділах 1–4 загалом єдиний.</w:t>
      </w:r>
    </w:p>
    <w:bookmarkEnd w:id="14"/>
    <w:bookmarkStart w:id="28" w:name="основні-зауваження"/>
    <w:p>
      <w:pPr>
        <w:pStyle w:val="Heading2"/>
      </w:pPr>
      <w:r>
        <w:t xml:space="preserve">Основні зауваження</w:t>
      </w:r>
    </w:p>
    <w:bookmarkStart w:id="15" w:name="X501b2c123c9c04dcf4bbd88be3ab857ea062f8e"/>
    <w:p>
      <w:pPr>
        <w:pStyle w:val="Heading3"/>
      </w:pPr>
      <w:r>
        <w:t xml:space="preserve">1. PDF і поточні LaTeX-джерела не утворюють одну відтворювану версію</w:t>
      </w:r>
    </w:p>
    <w:p>
      <w:pPr>
        <w:pStyle w:val="FirstParagraph"/>
      </w:pPr>
      <w:r>
        <w:t xml:space="preserve">Наданий</w:t>
      </w:r>
      <w:r>
        <w:t xml:space="preserve"> </w:t>
      </w:r>
      <w:r>
        <w:rPr>
          <w:rStyle w:val="VerbatimChar"/>
        </w:rPr>
        <w:t xml:space="preserve">dissertation_reviewed.pdf</w:t>
      </w:r>
      <w:r>
        <w:t xml:space="preserve"> </w:t>
      </w:r>
      <w:r>
        <w:t xml:space="preserve">має 176 сторінок: розділ 4 починається на стор. 113, загальні висновки — на стор. 150, бібліографія — на стор. 157, додаток — на стор. 173. Контрольна збірка поточних джерел 21.07.2026 дала 177 сторінок, де ці елементи починаються відповідно на стор. 114, 151, 158 і 174. Файли</w:t>
      </w:r>
      <w:r>
        <w:t xml:space="preserve"> </w:t>
      </w:r>
      <w:r>
        <w:rPr>
          <w:rStyle w:val="VerbatimChar"/>
        </w:rPr>
        <w:t xml:space="preserve">intro.tex</w:t>
      </w:r>
      <w:r>
        <w:t xml:space="preserve">,</w:t>
      </w:r>
      <w:r>
        <w:t xml:space="preserve"> </w:t>
      </w:r>
      <w:r>
        <w:rPr>
          <w:rStyle w:val="VerbatimChar"/>
        </w:rPr>
        <w:t xml:space="preserve">chapter_2.tex</w:t>
      </w:r>
      <w:r>
        <w:t xml:space="preserve">,</w:t>
      </w:r>
      <w:r>
        <w:t xml:space="preserve"> </w:t>
      </w:r>
      <w:r>
        <w:rPr>
          <w:rStyle w:val="VerbatimChar"/>
        </w:rPr>
        <w:t xml:space="preserve">chapter_3.tex</w:t>
      </w:r>
      <w:r>
        <w:t xml:space="preserve">,</w:t>
      </w:r>
      <w:r>
        <w:t xml:space="preserve"> </w:t>
      </w:r>
      <w:r>
        <w:rPr>
          <w:rStyle w:val="VerbatimChar"/>
        </w:rPr>
        <w:t xml:space="preserve">chapter_4.tex</w:t>
      </w:r>
      <w:r>
        <w:t xml:space="preserve"> </w:t>
      </w:r>
      <w:r>
        <w:t xml:space="preserve">мають час зміни пізніший за час створення PDF.</w:t>
      </w:r>
    </w:p>
    <w:p>
      <w:pPr>
        <w:pStyle w:val="BodyText"/>
      </w:pPr>
      <w:r>
        <w:t xml:space="preserve">Це робить невизначеним канонічний об’єкт рецензування, а сторінкові посилання, заявлений обсяг і цифровий файл для оприлюднення можуть розійтися. Потрібно зафіксувати одну версію джерел, збирати PDF лише з неї, додати версію інструментарію/шрифтів і контрольну суму фінального PDF. У цій рецензії всі сторінкові посилання наведено за 176-сторінковим</w:t>
      </w:r>
      <w:r>
        <w:t xml:space="preserve"> </w:t>
      </w:r>
      <w:r>
        <w:rPr>
          <w:rStyle w:val="VerbatimChar"/>
        </w:rPr>
        <w:t xml:space="preserve">dissertation_reviewed.pdf</w:t>
      </w:r>
      <w:r>
        <w:t xml:space="preserve">.</w:t>
      </w:r>
    </w:p>
    <w:bookmarkEnd w:id="15"/>
    <w:bookmarkStart w:id="16" w:name="Xac77998e2512ec2786e7ccd121adac6540a32ba"/>
    <w:p>
      <w:pPr>
        <w:pStyle w:val="Heading3"/>
      </w:pPr>
      <w:r>
        <w:t xml:space="preserve">2. У вступі неправильно зазначено загальний обсяг і кількість таблиць</w:t>
      </w:r>
    </w:p>
    <w:p>
      <w:pPr>
        <w:pStyle w:val="FirstParagraph"/>
      </w:pPr>
      <w:r>
        <w:t xml:space="preserve">На стор. 29–30 сказано: «Зібраний документ містить 170 сторінок» і «Робота містить ... 30 таблиць». Фактично остання пронумерована сторінка PDF — 176. За підписами в документі наявні таблиця 0.2, таблиці 1.1–1.6, 3.1–3.5, 4.1–4.21 та А.1–А.2, тобто 35 таблиць. Навіть без додатка та вступної таблиці основна частина має 32 таблиці, тому число 30 не відповідає жодному очевидному правилу підрахунку. Числа 20 рисунків, 19 нумерованих формул і 110 джерел підтверджуються.</w:t>
      </w:r>
    </w:p>
    <w:p>
      <w:pPr>
        <w:pStyle w:val="BodyText"/>
      </w:pPr>
      <w:r>
        <w:t xml:space="preserve">Потрібно автоматизувати ці лічильники або принаймні перерахувати їх після остаточної збірки. Окремо слід чітко пояснити методику визначення «122 сторінок основного тексту», оскільки фізичний інтервал від стор. 31 до стор. 156 містить 126 сторінок; якщо чотири сторінки виключено за правилами обліку повносторінкових ілюстрацій/таблиць, це має бути документовано.</w:t>
      </w:r>
    </w:p>
    <w:bookmarkEnd w:id="16"/>
    <w:bookmarkStart w:id="17" w:name="X0ddb73389edbc110d697e2c068098fe4729b2d3"/>
    <w:p>
      <w:pPr>
        <w:pStyle w:val="Heading3"/>
      </w:pPr>
      <w:r>
        <w:t xml:space="preserve">3. Перша таблиця вступу має помилковий номер «0.2»</w:t>
      </w:r>
    </w:p>
    <w:p>
      <w:pPr>
        <w:pStyle w:val="FirstParagraph"/>
      </w:pPr>
      <w:r>
        <w:t xml:space="preserve">На стор. 23–24 є єдина таблиця вступу, але вона названа «Таблиця 0.2» і продовжується як «Продовження таблиці 0.2». Номер</w:t>
      </w:r>
      <w:r>
        <w:t xml:space="preserve"> </w:t>
      </w:r>
      <w:r>
        <w:rPr>
          <w:rStyle w:val="VerbatimChar"/>
        </w:rPr>
        <w:t xml:space="preserve">0</w:t>
      </w:r>
      <w:r>
        <w:t xml:space="preserve"> </w:t>
      </w:r>
      <w:r>
        <w:t xml:space="preserve">виникає через прив’язку номера таблиці до ненумерованого вступу, а</w:t>
      </w:r>
      <w:r>
        <w:t xml:space="preserve"> </w:t>
      </w:r>
      <w:r>
        <w:rPr>
          <w:rStyle w:val="VerbatimChar"/>
        </w:rPr>
        <w:t xml:space="preserve">2</w:t>
      </w:r>
      <w:r>
        <w:t xml:space="preserve"> </w:t>
      </w:r>
      <w:r>
        <w:t xml:space="preserve">вказує на додаткове некоректне збільшення лічильника. У документі немає таблиці 0.1.</w:t>
      </w:r>
    </w:p>
    <w:p>
      <w:pPr>
        <w:pStyle w:val="BodyText"/>
      </w:pPr>
      <w:r>
        <w:t xml:space="preserve">Це видима формальна помилка. Слід або задати для вступу окрему наскрізну нумерацію («Таблиця 1»), або застосувати правило, погоджене із закладом, але не залишати номер неіснуючого нульового розділу. Після виправлення потрібно оновити всі посилання та заявлену кількість таблиць.</w:t>
      </w:r>
    </w:p>
    <w:bookmarkEnd w:id="17"/>
    <w:bookmarkStart w:id="18" w:name="Xa6fbd0495088c3483d6f9dce9bb33d594499f60"/>
    <w:p>
      <w:pPr>
        <w:pStyle w:val="Heading3"/>
      </w:pPr>
      <w:r>
        <w:t xml:space="preserve">4. Не наведено конкретного особистого внеску здобувача у співавторські праці</w:t>
      </w:r>
    </w:p>
    <w:p>
      <w:pPr>
        <w:pStyle w:val="FirstParagraph"/>
      </w:pPr>
      <w:r>
        <w:t xml:space="preserve">На стор. 28 прямо зазначено, що конкретний розподіл постановки задачі, формалізації, програмної реалізації, експерименту, статистичного опрацювання й підготовки тексту «не заявляється» і має бути внесений пізніше. На стор. 175 у всіх релевантних рядках повторено «потребує авторської довідки». Водночас усі дев’ять праць у списку публікацій мають співавторів, а на стор. 58 першого розділу заявлено, що відомості про внесок наведено у відповідному списку/додатку, хоча фактично їх немає.</w:t>
      </w:r>
    </w:p>
    <w:p>
      <w:pPr>
        <w:pStyle w:val="BodyText"/>
      </w:pPr>
      <w:r>
        <w:t xml:space="preserve">Це не редакторська дрібниця, а формальний блокер. Для кожної спільної публікації, результати якої використано в дисертації, потрібно конкретно вказати внесок здобувача і, за потреби, співвіднести його з положеннями новизни, реалізацією та експериментами. Формулювання «потребує довідки» не може залишатися у фінальній версії.</w:t>
      </w:r>
    </w:p>
    <w:bookmarkEnd w:id="18"/>
    <w:bookmarkStart w:id="19" w:name="Xefcb0b9e8e315731ec59a6f19de20d77b28ec63"/>
    <w:p>
      <w:pPr>
        <w:pStyle w:val="Heading3"/>
      </w:pPr>
      <w:r>
        <w:t xml:space="preserve">5. Відомості про апробацію не містять форми участі</w:t>
      </w:r>
    </w:p>
    <w:p>
      <w:pPr>
        <w:pStyle w:val="FirstParagraph"/>
      </w:pPr>
      <w:r>
        <w:t xml:space="preserve">На стор. 29 наведено назви, місця і дати заходів. У таблиці на стор. 176 остання графа називається «Документально підтверджена форма оприлюднення», а її значення — «Опубліковано повний текст доповіді» або «Опубліковано тези доповіді». Це характеризує вид публікації, але не форму участі здобувача в заході: усна доповідь, стендова доповідь, дистанційна доповідь, участь без доповіді тощо. Перед таблицею автор додатково визнає, що факт доповіді не підтверджено.</w:t>
      </w:r>
    </w:p>
    <w:p>
      <w:pPr>
        <w:pStyle w:val="BodyText"/>
      </w:pPr>
      <w:r>
        <w:t xml:space="preserve">Вимоги МОН передбачають у обов’язковому додатку відомості про апробацію із зазначенням форми участі. Потрібно отримати програми/сертифікати або інші підтвердження та заповнити саме форму участі; якщо участі не було, не називати сам факт публікації апробацією без окремого обґрунтування.</w:t>
      </w:r>
    </w:p>
    <w:bookmarkEnd w:id="19"/>
    <w:bookmarkStart w:id="20" w:name="X202102fda3a60365c47d58823d38b28cf7c9c59"/>
    <w:p>
      <w:pPr>
        <w:pStyle w:val="Heading3"/>
      </w:pPr>
      <w:r>
        <w:t xml:space="preserve">6. Матриця «новизна — публікації» показує незавершену публікаційну простежуваність</w:t>
      </w:r>
    </w:p>
    <w:p>
      <w:pPr>
        <w:pStyle w:val="FirstParagraph"/>
      </w:pPr>
      <w:r>
        <w:t xml:space="preserve">У таблиці А.1 на стор. 175 для «Моделі мультимодального представлення» у графі публікацій стоїть тире, а для інших трьох основних результатів тотожність дисертаційних протоколів публікаціям і особистий внесок потребують звірення. Отже, додаток не підтверджує, а документує відсутність завершеної простежуваності центральних положень новизни.</w:t>
      </w:r>
    </w:p>
    <w:p>
      <w:pPr>
        <w:pStyle w:val="BodyText"/>
      </w:pPr>
      <w:r>
        <w:t xml:space="preserve">Перед поданням потрібно встановити, у яких працях опубліковано кожне основне наукове положення, що саме збігається з дисертацією, а що є лише тематичним контекстом. Якщо модель справді не опублікована як результат, слід окремо перевірити достатність публікаційного покриття основних результатів за Порядком присудження ступеня та внутрішніми вимогами університету.</w:t>
      </w:r>
    </w:p>
    <w:bookmarkEnd w:id="20"/>
    <w:bookmarkStart w:id="21" w:name="X5acf4ce6b9958f7913e568e7e5c713a91a42028"/>
    <w:p>
      <w:pPr>
        <w:pStyle w:val="Heading3"/>
      </w:pPr>
      <w:r>
        <w:t xml:space="preserve">7. Анотації надмірно деталізовані й перебувають на межі нормативного обсягу</w:t>
      </w:r>
    </w:p>
    <w:p>
      <w:pPr>
        <w:pStyle w:val="FirstParagraph"/>
      </w:pPr>
      <w:r>
        <w:t xml:space="preserve">Українська анотація займає стор. 2–7, англійська — стор. 8–12. Витягнутий текст кожної версії має приблизно 12,0 тис. знаків із пробілами ще до остаточного редакторського підрахунку. Це номінально на верхній межі або трохи вище 0,3 авторського аркуша (12 000 знаків). Зміст перевантажено деталями шести серій, окремими матрицями помилок, часовими показниками, назвами обмежень і повторними дисклеймерами.</w:t>
      </w:r>
    </w:p>
    <w:p>
      <w:pPr>
        <w:pStyle w:val="BodyText"/>
      </w:pPr>
      <w:r>
        <w:t xml:space="preserve">Потрібно виконати офіційний підрахунок чистого тексту без LaTeX-команд, номерів сторінок і службових знаків та скоротити анотації до узагальненого викладу: проблема, мета, методи, чотири положення новизни, ключові перевірені результати, практичне значення й основні межі. Повні матриці та всі вторинні показники доречні в розділі 4, а не в анотації.</w:t>
      </w:r>
    </w:p>
    <w:bookmarkEnd w:id="21"/>
    <w:bookmarkStart w:id="22" w:name="X143cbe1c9c2ba2388875d4d16edb1fa5674927e"/>
    <w:p>
      <w:pPr>
        <w:pStyle w:val="Heading3"/>
      </w:pPr>
      <w:r>
        <w:t xml:space="preserve">8. Перелік умовних позначень не відповідає фактичній складності математичного апарату</w:t>
      </w:r>
    </w:p>
    <w:p>
      <w:pPr>
        <w:pStyle w:val="FirstParagraph"/>
      </w:pPr>
      <w:r>
        <w:t xml:space="preserve">Стор. 18 містить переважно 23 скорочення й формати, але не містить основних символів, які повторюються між розділами:</w:t>
      </w:r>
      <w:r>
        <w:t xml:space="preserve"> </w:t>
      </w:r>
      <m:oMath>
        <m:sSub>
          <m:e>
            <m:r>
              <m:t>X</m:t>
            </m:r>
          </m:e>
          <m:sub>
            <m:r>
              <m:t>m</m:t>
            </m:r>
            <m:r>
              <m:t>m</m:t>
            </m:r>
          </m:sub>
        </m:sSub>
      </m:oMath>
      <w:r>
        <w:t xml:space="preserve">,</w:t>
      </w:r>
      <w:r>
        <w:t xml:space="preserve"> </w:t>
      </w:r>
      <m:oMath>
        <m:sSub>
          <m:e>
            <m:r>
              <m:t>X</m:t>
            </m:r>
          </m:e>
          <m:sub>
            <m:r>
              <m:t>v</m:t>
            </m:r>
          </m:sub>
        </m:sSub>
      </m:oMath>
      <w:r>
        <w:t xml:space="preserve">,</w:t>
      </w:r>
      <w:r>
        <w:t xml:space="preserve"> </w:t>
      </w:r>
      <m:oMath>
        <m:sSub>
          <m:e>
            <m:r>
              <m:t>X</m:t>
            </m:r>
          </m:e>
          <m:sub>
            <m:r>
              <m:t>s</m:t>
            </m:r>
          </m:sub>
        </m:sSub>
      </m:oMath>
      <w:r>
        <w:t xml:space="preserve">,</w:t>
      </w:r>
      <w:r>
        <w:t xml:space="preserve"> </w:t>
      </w:r>
      <m:oMath>
        <m:sSub>
          <m:e>
            <m:r>
              <m:t>X</m:t>
            </m:r>
          </m:e>
          <m:sub>
            <m:r>
              <m:t>b</m:t>
            </m:r>
          </m:sub>
        </m:sSub>
      </m:oMath>
      <w:r>
        <w:t xml:space="preserve">,</w:t>
      </w:r>
      <w:r>
        <w:t xml:space="preserve"> </w:t>
      </w:r>
      <m:oMath>
        <m:r>
          <m:t>H</m:t>
        </m:r>
      </m:oMath>
      <w:r>
        <w:t xml:space="preserve">,</w:t>
      </w:r>
      <w:r>
        <w:t xml:space="preserve"> </w:t>
      </w:r>
      <m:oMath>
        <m:r>
          <m:t>Z</m:t>
        </m:r>
      </m:oMath>
      <w:r>
        <w:t xml:space="preserve">,</w:t>
      </w:r>
      <w:r>
        <w:t xml:space="preserve"> </w:t>
      </w:r>
      <m:oMath>
        <m:sSub>
          <m:e>
            <m:r>
              <m:t>m</m:t>
            </m:r>
          </m:e>
          <m:sub>
            <m:r>
              <m:t>A</m:t>
            </m:r>
          </m:sub>
        </m:sSub>
      </m:oMath>
      <w:r>
        <w:t xml:space="preserve">,</w:t>
      </w:r>
      <w:r>
        <w:t xml:space="preserve"> </w:t>
      </w:r>
      <m:oMath>
        <m:sSub>
          <m:e>
            <m:r>
              <m:t>S</m:t>
            </m:r>
          </m:e>
          <m:sub>
            <m:r>
              <m:t>A</m:t>
            </m:r>
          </m:sub>
        </m:sSub>
      </m:oMath>
      <w:r>
        <w:t xml:space="preserve">,</w:t>
      </w:r>
      <w:r>
        <w:t xml:space="preserve"> </w:t>
      </w:r>
      <m:oMath>
        <m:sSub>
          <m:e>
            <m:r>
              <m:t>D</m:t>
            </m:r>
          </m:e>
          <m:sub>
            <m:r>
              <m:t>A</m:t>
            </m:r>
          </m:sub>
        </m:sSub>
      </m:oMath>
      <w:r>
        <w:t xml:space="preserve">,</w:t>
      </w:r>
      <w:r>
        <w:t xml:space="preserve"> </w:t>
      </w:r>
      <m:oMath>
        <m:sSub>
          <m:e>
            <m:r>
              <m:t>K</m:t>
            </m:r>
          </m:e>
          <m:sub>
            <m:r>
              <m:t>E</m:t>
            </m:r>
          </m:sub>
        </m:sSub>
      </m:oMath>
      <w:r>
        <w:t xml:space="preserve">,</w:t>
      </w:r>
      <w:r>
        <w:t xml:space="preserve"> </w:t>
      </w:r>
      <m:oMath>
        <m:sSub>
          <m:e>
            <m:r>
              <m:t>ρ</m:t>
            </m:r>
          </m:e>
          <m:sub>
            <m:r>
              <m:t>s</m:t>
            </m:r>
          </m:sub>
        </m:sSub>
      </m:oMath>
      <w:r>
        <w:t xml:space="preserve">,</w:t>
      </w:r>
      <w:r>
        <w:t xml:space="preserve"> </w:t>
      </w:r>
      <m:oMath>
        <m:sSub>
          <m:e>
            <m:r>
              <m:t>ρ</m:t>
            </m:r>
          </m:e>
          <m:sub>
            <m:r>
              <m:t>v</m:t>
            </m:r>
          </m:sub>
        </m:sSub>
      </m:oMath>
      <w:r>
        <w:t xml:space="preserve">,</w:t>
      </w:r>
      <w:r>
        <w:t xml:space="preserve"> </w:t>
      </w:r>
      <m:oMath>
        <m:sSub>
          <m:e>
            <m:r>
              <m:t>ρ</m:t>
            </m:r>
          </m:e>
          <m:sub>
            <m:r>
              <m:t>A</m:t>
            </m:r>
          </m:sub>
        </m:sSub>
      </m:oMath>
      <w:r>
        <w:t xml:space="preserve">,</w:t>
      </w:r>
      <w:r>
        <w:t xml:space="preserve"> </w:t>
      </w:r>
      <m:oMath>
        <m:sSub>
          <m:e>
            <m:r>
              <m:t>c</m:t>
            </m:r>
          </m:e>
          <m:sub>
            <m:r>
              <m:t>A</m:t>
            </m:r>
          </m:sub>
        </m:sSub>
      </m:oMath>
      <w:r>
        <w:t xml:space="preserve">,</w:t>
      </w:r>
      <w:r>
        <w:t xml:space="preserve"> </w:t>
      </w:r>
      <m:oMath>
        <m:sSub>
          <m:e>
            <m:r>
              <m:t>L</m:t>
            </m:r>
          </m:e>
          <m:sub>
            <m:r>
              <m:t>s</m:t>
            </m:r>
          </m:sub>
        </m:sSub>
      </m:oMath>
      <w:r>
        <w:t xml:space="preserve">,</w:t>
      </w:r>
      <w:r>
        <w:t xml:space="preserve"> </w:t>
      </w:r>
      <m:oMath>
        <m:sSub>
          <m:e>
            <m:r>
              <m:t>L</m:t>
            </m:r>
          </m:e>
          <m:sub>
            <m:r>
              <m:t>v</m:t>
            </m:r>
          </m:sub>
        </m:sSub>
      </m:oMath>
      <w:r>
        <w:t xml:space="preserve">,</w:t>
      </w:r>
      <w:r>
        <w:t xml:space="preserve"> </w:t>
      </w:r>
      <m:oMath>
        <m:r>
          <m:t>τ</m:t>
        </m:r>
      </m:oMath>
      <w:r>
        <w:t xml:space="preserve"> </w:t>
      </w:r>
      <w:r>
        <w:t xml:space="preserve">та інших. Через це читач мусить відновлювати значення позначень за локальними поясненнями на стор. 68–80 і 84–110.</w:t>
      </w:r>
    </w:p>
    <w:p>
      <w:pPr>
        <w:pStyle w:val="BodyText"/>
      </w:pPr>
      <w:r>
        <w:t xml:space="preserve">Є й локальна неузгодженість: на стор. 18 наведено</w:t>
      </w:r>
      <w:r>
        <w:t xml:space="preserve"> </w:t>
      </w:r>
      <w:r>
        <w:rPr>
          <w:rStyle w:val="VerbatimChar"/>
        </w:rPr>
        <w:t xml:space="preserve">Acc</w:t>
      </w:r>
      <w:r>
        <w:t xml:space="preserve">,</w:t>
      </w:r>
      <w:r>
        <w:t xml:space="preserve"> </w:t>
      </w:r>
      <w:r>
        <w:rPr>
          <w:rStyle w:val="VerbatimChar"/>
        </w:rPr>
        <w:t xml:space="preserve">Prec</w:t>
      </w:r>
      <w:r>
        <w:t xml:space="preserve">,</w:t>
      </w:r>
      <w:r>
        <w:t xml:space="preserve"> </w:t>
      </w:r>
      <w:r>
        <w:rPr>
          <w:rStyle w:val="VerbatimChar"/>
        </w:rPr>
        <w:t xml:space="preserve">Rec</w:t>
      </w:r>
      <w:r>
        <w:t xml:space="preserve">,</w:t>
      </w:r>
      <w:r>
        <w:t xml:space="preserve"> </w:t>
      </w:r>
      <w:r>
        <w:rPr>
          <w:rStyle w:val="VerbatimChar"/>
        </w:rPr>
        <w:t xml:space="preserve">FPR</w:t>
      </w:r>
      <w:r>
        <w:t xml:space="preserve">,</w:t>
      </w:r>
      <w:r>
        <w:t xml:space="preserve"> </w:t>
      </w:r>
      <w:r>
        <w:rPr>
          <w:rStyle w:val="VerbatimChar"/>
        </w:rPr>
        <w:t xml:space="preserve">FNR</w:t>
      </w:r>
      <w:r>
        <w:t xml:space="preserve">, тоді як рисунок 4.5 на стор. 143 використовує</w:t>
      </w:r>
      <w:r>
        <w:t xml:space="preserve"> </w:t>
      </w:r>
      <m:oMath>
        <m:r>
          <m:t>A</m:t>
        </m:r>
      </m:oMath>
      <w:r>
        <w:t xml:space="preserve">,</w:t>
      </w:r>
      <w:r>
        <w:t xml:space="preserve"> </w:t>
      </w:r>
      <m:oMath>
        <m:r>
          <m:t>P</m:t>
        </m:r>
      </m:oMath>
      <w:r>
        <w:t xml:space="preserve">,</w:t>
      </w:r>
      <w:r>
        <w:t xml:space="preserve"> </w:t>
      </w:r>
      <m:oMath>
        <m:r>
          <m:t>R</m:t>
        </m:r>
      </m:oMath>
      <w:r>
        <w:t xml:space="preserve">,</w:t>
      </w:r>
      <w:r>
        <w:t xml:space="preserve"> </w:t>
      </w:r>
      <m:oMath>
        <m:sSub>
          <m:e>
            <m:r>
              <m:t>R</m:t>
            </m:r>
          </m:e>
          <m:sub>
            <m:r>
              <m:rPr>
                <m:sty m:val="p"/>
              </m:rPr>
              <m:t>+</m:t>
            </m:r>
          </m:sub>
        </m:sSub>
      </m:oMath>
      <w:r>
        <w:t xml:space="preserve">,</w:t>
      </w:r>
      <w:r>
        <w:t xml:space="preserve"> </w:t>
      </w:r>
      <m:oMath>
        <m:sSub>
          <m:e>
            <m:r>
              <m:t>R</m:t>
            </m:r>
          </m:e>
          <m:sub>
            <m:r>
              <m:rPr>
                <m:sty m:val="p"/>
              </m:rPr>
              <m:t>−</m:t>
            </m:r>
          </m:sub>
        </m:sSub>
      </m:oMath>
      <w:r>
        <w:t xml:space="preserve">. Хоча ці символи пояснено безпосередньо перед рисунком, паралельні системи позначень непотрібно ускладнюють читання. Потрібна окрема таблиця математичних символів із доменами/одиницями та одна система назв метрик у переліку, формулах, таблицях і рисунках.</w:t>
      </w:r>
    </w:p>
    <w:bookmarkEnd w:id="22"/>
    <w:bookmarkStart w:id="23" w:name="Xca117605849d0082b8a5ca60927bd8c31db9724"/>
    <w:p>
      <w:pPr>
        <w:pStyle w:val="Heading3"/>
      </w:pPr>
      <w:r>
        <w:t xml:space="preserve">9. Частину ключових формул подано як назви «чорних скриньок», а не відтворювані математичні специфікації</w:t>
      </w:r>
    </w:p>
    <w:p>
      <w:pPr>
        <w:pStyle w:val="FirstParagraph"/>
      </w:pPr>
      <w:r>
        <w:t xml:space="preserve">У розділах 2–3 формули на стор. 73–80 і 97–110 широко використовують відображення</w:t>
      </w:r>
      <w:r>
        <w:t xml:space="preserve"> </w:t>
      </w:r>
      <m:oMath>
        <m:sSub>
          <m:e>
            <m:r>
              <m:t>F</m:t>
            </m:r>
          </m:e>
          <m:sub>
            <m:r>
              <m:t>I</m:t>
            </m:r>
          </m:sub>
        </m:sSub>
      </m:oMath>
      <w:r>
        <w:t xml:space="preserve">,</w:t>
      </w:r>
      <w:r>
        <w:t xml:space="preserve"> </w:t>
      </w:r>
      <m:oMath>
        <m:sSub>
          <m:e>
            <m:r>
              <m:t>F</m:t>
            </m:r>
          </m:e>
          <m:sub>
            <m:r>
              <m:t>D</m:t>
            </m:r>
          </m:sub>
        </m:sSub>
      </m:oMath>
      <w:r>
        <w:t xml:space="preserve">,</w:t>
      </w:r>
      <w:r>
        <w:t xml:space="preserve"> </w:t>
      </w:r>
      <m:oMath>
        <m:sSub>
          <m:e>
            <m:r>
              <m:t>F</m:t>
            </m:r>
          </m:e>
          <m:sub>
            <m:r>
              <m:t>q</m:t>
            </m:r>
          </m:sub>
        </m:sSub>
      </m:oMath>
      <w:r>
        <w:t xml:space="preserve">,</w:t>
      </w:r>
      <w:r>
        <w:t xml:space="preserve"> </w:t>
      </w:r>
      <m:oMath>
        <m:sSub>
          <m:e>
            <m:r>
              <m:t>F</m:t>
            </m:r>
          </m:e>
          <m:sub>
            <m:r>
              <m:t>E</m:t>
            </m:r>
          </m:sub>
        </m:sSub>
      </m:oMath>
      <w:r>
        <w:t xml:space="preserve">,</w:t>
      </w:r>
      <w:r>
        <w:t xml:space="preserve"> </w:t>
      </w:r>
      <m:oMath>
        <m:sSub>
          <m:e>
            <m:r>
              <m:t>F</m:t>
            </m:r>
          </m:e>
          <m:sub>
            <m:r>
              <m:t>A</m:t>
            </m:r>
          </m:sub>
        </m:sSub>
      </m:oMath>
      <w:r>
        <w:t xml:space="preserve">,</w:t>
      </w:r>
      <w:r>
        <w:t xml:space="preserve"> </w:t>
      </w:r>
      <m:oMath>
        <m:sSub>
          <m:e>
            <m:r>
              <m:t>F</m:t>
            </m:r>
          </m:e>
          <m:sub>
            <m:r>
              <m:t>R</m:t>
            </m:r>
          </m:sub>
        </m:sSub>
      </m:oMath>
      <w:r>
        <w:t xml:space="preserve">,</w:t>
      </w:r>
      <w:r>
        <w:t xml:space="preserve"> </w:t>
      </w:r>
      <m:oMath>
        <m:sSub>
          <m:e>
            <m:r>
              <m:t>F</m:t>
            </m:r>
          </m:e>
          <m:sub>
            <m:r>
              <m:t>T</m:t>
            </m:r>
          </m:sub>
        </m:sSub>
      </m:oMath>
      <w:r>
        <w:t xml:space="preserve"> </w:t>
      </w:r>
      <w:r>
        <w:t xml:space="preserve">та параметри/пороги, для яких описано семантику, але не завжди задано домени, кодомени, алгоритм обчислення й повну конфігурацію. На стор. 76 прямо визнано, що ваги інтегрального ризику не встановлені; у розділі 3 повна поведінкова конфігурація також лишається формалізованою, але не операціоналізованою (стор. 103–106).</w:t>
      </w:r>
    </w:p>
    <w:p>
      <w:pPr>
        <w:pStyle w:val="BodyText"/>
      </w:pPr>
      <w:r>
        <w:t xml:space="preserve">Для дисертації з інформаційних технологій цього словесного рівня недостатньо, якщо формули подаються як основа моделі й методів. Слід додати компактну специфікацію типів вхідних/вихідних даних, псевдокод двох методів, правила оброблення недоступної модальності, порядок калібрування й таблицю параметрів. Неперевірені функції потрібно чітко відокремити від реалізованого алгоритму не лише дисклеймером, а й графічно/структурно.</w:t>
      </w:r>
    </w:p>
    <w:bookmarkEnd w:id="23"/>
    <w:bookmarkStart w:id="24" w:name="Xa7551b5c5531d2f767455f08bd9ba7ec09f0397"/>
    <w:p>
      <w:pPr>
        <w:pStyle w:val="Heading3"/>
      </w:pPr>
      <w:r>
        <w:t xml:space="preserve">10. Виклад надмірно повторює межі доказовості й подекуди набуває форми аудиторського звіту</w:t>
      </w:r>
    </w:p>
    <w:p>
      <w:pPr>
        <w:pStyle w:val="FirstParagraph"/>
      </w:pPr>
      <w:r>
        <w:t xml:space="preserve">Ті самі застереження про невиконуваний код, неповний журнал, неперевірений поведінковий метод, відсутність промислового контуру й обмежену переносимість повторюються в анотаціях (стор. 2–12), вступі (стор. 19–30), висновках розділів 1–4 (стор. 63–64, 80–81, 111–112, 147–149) та загальних висновках (стор. 150–156). Доказова обережність є сильною стороною, але повторення розмиває головну наукову лінію й суттєво збільшує обсяг.</w:t>
      </w:r>
    </w:p>
    <w:p>
      <w:pPr>
        <w:pStyle w:val="BodyText"/>
      </w:pPr>
      <w:r>
        <w:t xml:space="preserve">Рекомендую залишити у вступі одну матрицю статусів, у розділі 4 — централізований підрозділ валідності, а в загальних висновках — стислий підсумок підтвердженого результату й ключових меж. У розділах 2–3 слід зосередитися на визначеннях і алгоритмах. Варто також скоротити багатокомпонентні речення та часті метатекстові конструкції «не є», «не підміняє», «не заявляється».</w:t>
      </w:r>
    </w:p>
    <w:bookmarkEnd w:id="24"/>
    <w:bookmarkStart w:id="25" w:name="X75d873f95d408dfa422f40231bd71fa2baa5f17"/>
    <w:p>
      <w:pPr>
        <w:pStyle w:val="Heading3"/>
      </w:pPr>
      <w:r>
        <w:t xml:space="preserve">11. Вузькі текстові колонки таблиць створюють помітно нерівний набір</w:t>
      </w:r>
    </w:p>
    <w:p>
      <w:pPr>
        <w:pStyle w:val="FirstParagraph"/>
      </w:pPr>
      <w:r>
        <w:t xml:space="preserve">Таблиці на стор. 23–24, 55, 116, 120, 127, 133, 139, 141, 146, 175–176 містять довгі словесні формулювання у вузьких вирівняних по ширині колонках. Це спричиняє часті переноси й великі проміжки між словами. Контрольна збірка зафіксувала 219 попереджень</w:t>
      </w:r>
      <w:r>
        <w:t xml:space="preserve"> </w:t>
      </w:r>
      <w:r>
        <w:rPr>
          <w:rStyle w:val="VerbatimChar"/>
        </w:rPr>
        <w:t xml:space="preserve">Underfull hbox</w:t>
      </w:r>
      <w:r>
        <w:t xml:space="preserve">, більшість з яких походить саме з таблиць. Обрізання немає, але типографічна якість нижча за якість основного тексту.</w:t>
      </w:r>
    </w:p>
    <w:p>
      <w:pPr>
        <w:pStyle w:val="BodyText"/>
      </w:pPr>
      <w:r>
        <w:t xml:space="preserve">Потрібно скоротити формулювання, застосувати вирівнювання по лівому краю в описових колонках, уніфікувати мінімальний розмір шрифту та за потреби рознести перевантажені таблиці. Таблиця А.1 на стор. 175 особливо щільна і поєднує забагато різних функцій: публікаційне покриття, внесок і доказові матеріали краще подати двома таблицями.</w:t>
      </w:r>
    </w:p>
    <w:bookmarkEnd w:id="25"/>
    <w:bookmarkStart w:id="26" w:name="X287964c27352afd857a8510af9c6042d5440536"/>
    <w:p>
      <w:pPr>
        <w:pStyle w:val="Heading3"/>
      </w:pPr>
      <w:r>
        <w:t xml:space="preserve">12. Бібліографія технічно повна, але потребує фінальної нормалізації електронних джерел</w:t>
      </w:r>
    </w:p>
    <w:p>
      <w:pPr>
        <w:pStyle w:val="FirstParagraph"/>
      </w:pPr>
      <w:r>
        <w:t xml:space="preserve">Список на стор. 157–172 містить 110 позицій і використовує послідовну числову схему IEEE. Водночас записи вебстандартів, CVE, сторінок виробників і програмних засобів не містять дат звернення; окремі поля оформлено неоднаково, а запис NVD у джерелі дублює URL у полях</w:t>
      </w:r>
      <w:r>
        <w:t xml:space="preserve"> </w:t>
      </w:r>
      <w:r>
        <w:rPr>
          <w:rStyle w:val="VerbatimChar"/>
        </w:rPr>
        <w:t xml:space="preserve">url</w:t>
      </w:r>
      <w:r>
        <w:t xml:space="preserve"> </w:t>
      </w:r>
      <w:r>
        <w:t xml:space="preserve">і</w:t>
      </w:r>
      <w:r>
        <w:t xml:space="preserve"> </w:t>
      </w:r>
      <w:r>
        <w:rPr>
          <w:rStyle w:val="VerbatimChar"/>
        </w:rPr>
        <w:t xml:space="preserve">note</w:t>
      </w:r>
      <w:r>
        <w:t xml:space="preserve">. Довгі URL на стор. 157–172 часто розриваються на кілька рядків, інколи посередині ідентифікатора.</w:t>
      </w:r>
    </w:p>
    <w:p>
      <w:pPr>
        <w:pStyle w:val="BodyText"/>
      </w:pPr>
      <w:r>
        <w:t xml:space="preserve">Слід обрати й задокументувати один дозволений стиль та привести до нього всі типи джерел, особливо</w:t>
      </w:r>
      <w:r>
        <w:t xml:space="preserve"> </w:t>
      </w:r>
      <w:r>
        <w:rPr>
          <w:rStyle w:val="VerbatimChar"/>
        </w:rPr>
        <w:t xml:space="preserve">@misc</w:t>
      </w:r>
      <w:r>
        <w:t xml:space="preserve">: автор/організація, точна назва, рік/дата оновлення, URL/DOI, дата звернення там, де її вимагає обраний стиль. Необхідно також окремо перевірити бібліографічні метадані всіх дев’яти праць здобувача, оскільки їх юридично значущі описи дублюються на стор. 13–14 і 173–174.</w:t>
      </w:r>
    </w:p>
    <w:bookmarkEnd w:id="26"/>
    <w:bookmarkStart w:id="27" w:name="Xcb461807e26edfc7afd770a027254b2799bf386"/>
    <w:p>
      <w:pPr>
        <w:pStyle w:val="Heading3"/>
      </w:pPr>
      <w:r>
        <w:t xml:space="preserve">13. Назва й центральне формулювання результату ширші за фактичний предмет експериментальної перевірки</w:t>
      </w:r>
    </w:p>
    <w:p>
      <w:pPr>
        <w:pStyle w:val="FirstParagraph"/>
      </w:pPr>
      <w:r>
        <w:t xml:space="preserve">Назва на стор. 1, мета у вступі (стор. 21–22) та назви розділів 1, 3 і 4 формулюють результат як «виявлення аномальних кодів». Водночас анотація (стор. 4–7), вступ (стор. 22, 27–28), експериментальний розділ (стор. 113–149) і загальні висновки (стор. 150–156) неодноразово уточнюють, що позитивні мітки означають контрольовано внесені структурні або статистичні зміни, виконуваного коду не було, а повний поведінковий метод не перевірено.</w:t>
      </w:r>
    </w:p>
    <w:p>
      <w:pPr>
        <w:pStyle w:val="BodyText"/>
      </w:pPr>
      <w:r>
        <w:t xml:space="preserve">Таке уточнення є чесним, але не усуває семантичної напруги між назвою й доказовим обсягом. Для внутрішньої узгодженості слід або звузити назву/мету до виявлення ознак аномального вмісту та контрольованих змін, або додати належну перевірку саме аномальних кодових послідовностей у визначеному автором сенсі. У будь-якому разі один термін має мати однаковий обсяг у титулі, меті, положеннях новизни й висновках.</w:t>
      </w:r>
    </w:p>
    <w:bookmarkEnd w:id="27"/>
    <w:bookmarkEnd w:id="28"/>
    <w:bookmarkStart w:id="29" w:name="другорядні-зауваження"/>
    <w:p>
      <w:pPr>
        <w:pStyle w:val="Heading2"/>
      </w:pPr>
      <w:r>
        <w:t xml:space="preserve">Другорядні зауваження</w:t>
      </w:r>
    </w:p>
    <w:p>
      <w:pPr>
        <w:pStyle w:val="Compact"/>
        <w:numPr>
          <w:ilvl w:val="0"/>
          <w:numId w:val="1002"/>
        </w:numPr>
      </w:pPr>
      <w:r>
        <w:rPr>
          <w:b/>
          <w:bCs/>
        </w:rPr>
        <w:t xml:space="preserve">Стор. 15–17, зміст.</w:t>
      </w:r>
      <w:r>
        <w:t xml:space="preserve"> </w:t>
      </w:r>
      <w:r>
        <w:t xml:space="preserve">Третя сторінка змісту майже порожня. Після фінальної стабілізації пагінації варто відрегулювати вертикальні інтервали, не погіршуючи читаність.</w:t>
      </w:r>
    </w:p>
    <w:p>
      <w:pPr>
        <w:pStyle w:val="Compact"/>
        <w:numPr>
          <w:ilvl w:val="0"/>
          <w:numId w:val="1002"/>
        </w:numPr>
      </w:pPr>
      <w:r>
        <w:rPr>
          <w:b/>
          <w:bCs/>
        </w:rPr>
        <w:t xml:space="preserve">Стор. 18.</w:t>
      </w:r>
      <w:r>
        <w:t xml:space="preserve"> </w:t>
      </w:r>
      <w:r>
        <w:t xml:space="preserve">Скорочення</w:t>
      </w:r>
      <w:r>
        <w:t xml:space="preserve"> </w:t>
      </w:r>
      <w:r>
        <w:rPr>
          <w:rStyle w:val="VerbatimChar"/>
        </w:rPr>
        <w:t xml:space="preserve">F1</w:t>
      </w:r>
      <w:r>
        <w:t xml:space="preserve"> </w:t>
      </w:r>
      <w:r>
        <w:t xml:space="preserve">розміщено після</w:t>
      </w:r>
      <w:r>
        <w:t xml:space="preserve"> </w:t>
      </w:r>
      <w:r>
        <w:rPr>
          <w:rStyle w:val="VerbatimChar"/>
        </w:rPr>
        <w:t xml:space="preserve">ROC</w:t>
      </w:r>
      <w:r>
        <w:t xml:space="preserve">, а не в алфавітному/логічному порядку. Додати</w:t>
      </w:r>
      <w:r>
        <w:t xml:space="preserve"> </w:t>
      </w:r>
      <w:r>
        <w:rPr>
          <w:rStyle w:val="VerbatimChar"/>
        </w:rPr>
        <w:t xml:space="preserve">WebM</w:t>
      </w:r>
      <w:r>
        <w:t xml:space="preserve">, збалансовану точність/частку правильних рішень,</w:t>
      </w:r>
      <w:r>
        <w:t xml:space="preserve"> </w:t>
      </w:r>
      <m:oMath>
        <m:sSub>
          <m:e>
            <m:r>
              <m:t>K</m:t>
            </m:r>
          </m:e>
          <m:sub>
            <m:r>
              <m:t>E</m:t>
            </m:r>
          </m:sub>
        </m:sSub>
      </m:oMath>
      <w:r>
        <w:t xml:space="preserve"> </w:t>
      </w:r>
      <w:r>
        <w:t xml:space="preserve">та позначення довірчих інтервалів, якщо вони використовуються далі.</w:t>
      </w:r>
    </w:p>
    <w:p>
      <w:pPr>
        <w:pStyle w:val="Compact"/>
        <w:numPr>
          <w:ilvl w:val="0"/>
          <w:numId w:val="1002"/>
        </w:numPr>
      </w:pPr>
      <w:r>
        <w:rPr>
          <w:b/>
          <w:bCs/>
        </w:rPr>
        <w:t xml:space="preserve">Стор. 82 і 113.</w:t>
      </w:r>
      <w:r>
        <w:t xml:space="preserve"> </w:t>
      </w:r>
      <w:r>
        <w:t xml:space="preserve">Початкові сторінки розділів 3 і 4 мають значні порожні нижні поля через короткі вступні фрагменти. Це допустимо, але композиційно краще перенести на ці сторінки перший рисунок/таблицю або збалансувати вступ.</w:t>
      </w:r>
    </w:p>
    <w:p>
      <w:pPr>
        <w:pStyle w:val="Compact"/>
        <w:numPr>
          <w:ilvl w:val="0"/>
          <w:numId w:val="1002"/>
        </w:numPr>
      </w:pPr>
      <w:r>
        <w:rPr>
          <w:b/>
          <w:bCs/>
        </w:rPr>
        <w:t xml:space="preserve">Стор. 60, 69, 72, 89, 102, 110, 123.</w:t>
      </w:r>
      <w:r>
        <w:t xml:space="preserve"> </w:t>
      </w:r>
      <w:r>
        <w:t xml:space="preserve">Внутрішній шрифт окремих схем менший за основний текст і на друкованій копії може читатися гірше. Перевірити пробний друк у масштабі 100 %, особливо підписи у вузлах.</w:t>
      </w:r>
    </w:p>
    <w:p>
      <w:pPr>
        <w:pStyle w:val="Compact"/>
        <w:numPr>
          <w:ilvl w:val="0"/>
          <w:numId w:val="1002"/>
        </w:numPr>
      </w:pPr>
      <w:r>
        <w:rPr>
          <w:b/>
          <w:bCs/>
        </w:rPr>
        <w:t xml:space="preserve">Стор. 143.</w:t>
      </w:r>
      <w:r>
        <w:t xml:space="preserve"> </w:t>
      </w:r>
      <w:r>
        <w:t xml:space="preserve">Рисунок 4.5 повторює дані таблиці 4.19 і не додає невизначеності/інтервалів. Або пояснити його окрему аналітичну функцію, або залишити таблицю.</w:t>
      </w:r>
    </w:p>
    <w:p>
      <w:pPr>
        <w:pStyle w:val="Compact"/>
        <w:numPr>
          <w:ilvl w:val="0"/>
          <w:numId w:val="1002"/>
        </w:numPr>
      </w:pPr>
      <w:r>
        <w:rPr>
          <w:b/>
          <w:bCs/>
        </w:rPr>
        <w:t xml:space="preserve">Стор. 157–172.</w:t>
      </w:r>
      <w:r>
        <w:t xml:space="preserve"> </w:t>
      </w:r>
      <w:r>
        <w:t xml:space="preserve">У бібліографії трапляються незручні переноси DOI/URL. Доцільно дозволити перенесення лише у безпечних позиціях і, де можливо, друкувати DOI замість дублювального повного URL.</w:t>
      </w:r>
    </w:p>
    <w:p>
      <w:pPr>
        <w:pStyle w:val="Compact"/>
        <w:numPr>
          <w:ilvl w:val="0"/>
          <w:numId w:val="1002"/>
        </w:numPr>
      </w:pPr>
      <w:r>
        <w:rPr>
          <w:b/>
          <w:bCs/>
        </w:rPr>
        <w:t xml:space="preserve">Стор. 175–176.</w:t>
      </w:r>
      <w:r>
        <w:t xml:space="preserve"> </w:t>
      </w:r>
      <w:r>
        <w:t xml:space="preserve">Номери альбомних сторінок у PDF обертаються разом із вмістом. Це технічно допустимо, але потрібно звірити з локальним шаблоном ХНУ для друкованої копії.</w:t>
      </w:r>
    </w:p>
    <w:p>
      <w:pPr>
        <w:pStyle w:val="Compact"/>
        <w:numPr>
          <w:ilvl w:val="0"/>
          <w:numId w:val="1002"/>
        </w:numPr>
      </w:pPr>
      <w:r>
        <w:rPr>
          <w:b/>
          <w:bCs/>
        </w:rPr>
        <w:t xml:space="preserve">Джерело</w:t>
      </w:r>
      <w:r>
        <w:rPr>
          <w:b/>
          <w:bCs/>
        </w:rPr>
        <w:t xml:space="preserve"> </w:t>
      </w:r>
      <w:r>
        <w:rPr>
          <w:rStyle w:val="VerbatimChar"/>
          <w:b/>
          <w:bCs/>
        </w:rPr>
        <w:t xml:space="preserve">appendices.tex</w:t>
      </w:r>
      <w:r>
        <w:rPr>
          <w:b/>
          <w:bCs/>
        </w:rPr>
        <w:t xml:space="preserve">.</w:t>
      </w:r>
      <w:r>
        <w:t xml:space="preserve"> </w:t>
      </w:r>
      <w:r>
        <w:t xml:space="preserve">Заголовок продовження другої довгої таблиці жорстко задано як «Продовження таблиці А.1», хоча сама таблиця має номер А.2. Зараз вона вміщується на одній сторінці, але після редагування прихована помилка може проявитися.</w:t>
      </w:r>
    </w:p>
    <w:p>
      <w:pPr>
        <w:pStyle w:val="Compact"/>
        <w:numPr>
          <w:ilvl w:val="0"/>
          <w:numId w:val="1002"/>
        </w:numPr>
      </w:pPr>
      <w:r>
        <w:rPr>
          <w:b/>
          <w:bCs/>
        </w:rPr>
        <w:t xml:space="preserve">PDF-метадані.</w:t>
      </w:r>
      <w:r>
        <w:t xml:space="preserve"> </w:t>
      </w:r>
      <w:r>
        <w:t xml:space="preserve">Поле автора містить скорочене «Дмитро Денисюк», тоді як титульний аркуш подає повне ПІБ. Варто уніфікувати метадані з титулом і додати ключові слова.</w:t>
      </w:r>
    </w:p>
    <w:p>
      <w:pPr>
        <w:pStyle w:val="Compact"/>
        <w:numPr>
          <w:ilvl w:val="0"/>
          <w:numId w:val="1002"/>
        </w:numPr>
      </w:pPr>
      <w:r>
        <w:rPr>
          <w:b/>
          <w:bCs/>
        </w:rPr>
        <w:t xml:space="preserve">Електронна доступність.</w:t>
      </w:r>
      <w:r>
        <w:t xml:space="preserve"> </w:t>
      </w:r>
      <w:r>
        <w:t xml:space="preserve">PDF не тегований (</w:t>
      </w:r>
      <w:r>
        <w:rPr>
          <w:rStyle w:val="VerbatimChar"/>
        </w:rPr>
        <w:t xml:space="preserve">Tagged: no</w:t>
      </w:r>
      <w:r>
        <w:t xml:space="preserve">) і не оптимізований для швидкого вебперегляду. Це не встановлений наказом № 40 блокер, але для оприлюднення в репозитарії бажані структурні теги, коректний порядок читання й оптимізація.</w:t>
      </w:r>
    </w:p>
    <w:p>
      <w:pPr>
        <w:pStyle w:val="Compact"/>
        <w:numPr>
          <w:ilvl w:val="0"/>
          <w:numId w:val="1002"/>
        </w:numPr>
      </w:pPr>
      <w:r>
        <w:rPr>
          <w:b/>
          <w:bCs/>
        </w:rPr>
        <w:t xml:space="preserve">Термінологія.</w:t>
      </w:r>
      <w:r>
        <w:t xml:space="preserve"> </w:t>
      </w:r>
      <w:r>
        <w:t xml:space="preserve">У тексті паралельно функціонують «точність позитивного виявлення», «точність позитивного рішення»,</w:t>
      </w:r>
      <w:r>
        <w:t xml:space="preserve"> </w:t>
      </w:r>
      <w:r>
        <w:rPr>
          <w:rStyle w:val="VerbatimChar"/>
        </w:rPr>
        <w:t xml:space="preserve">Precision</w:t>
      </w:r>
      <w:r>
        <w:t xml:space="preserve">; «частка правильних рішень»,</w:t>
      </w:r>
      <w:r>
        <w:t xml:space="preserve"> </w:t>
      </w:r>
      <w:r>
        <w:rPr>
          <w:rStyle w:val="VerbatimChar"/>
        </w:rPr>
        <w:t xml:space="preserve">Accuracy</w:t>
      </w:r>
      <w:r>
        <w:t xml:space="preserve">; «гармонійний показник»,</w:t>
      </w:r>
      <w:r>
        <w:t xml:space="preserve"> </w:t>
      </w:r>
      <m:oMath>
        <m:sSub>
          <m:e>
            <m:r>
              <m:t>F</m:t>
            </m:r>
          </m:e>
          <m:sub>
            <m:r>
              <m:t>1</m:t>
            </m:r>
          </m:sub>
        </m:sSub>
      </m:oMath>
      <w:r>
        <w:t xml:space="preserve">. Обрати по одному українському відповіднику і послідовно його застосовувати.</w:t>
      </w:r>
    </w:p>
    <w:p>
      <w:pPr>
        <w:pStyle w:val="Compact"/>
        <w:numPr>
          <w:ilvl w:val="0"/>
          <w:numId w:val="1002"/>
        </w:numPr>
      </w:pPr>
      <w:r>
        <w:rPr>
          <w:b/>
          <w:bCs/>
        </w:rPr>
        <w:t xml:space="preserve">Титульний аркуш, стор. 1.</w:t>
      </w:r>
      <w:r>
        <w:t xml:space="preserve"> </w:t>
      </w:r>
      <w:r>
        <w:t xml:space="preserve">Перед фінальним поданням слід документально звірити код спеціальності та галузі знань із наказом про зарахування/освітньо-науковою програмою відповідного року, оскільки в Україні триває перехід між переліками спеціальностей. За самим рукописом встановити застосовний перехідний режим неможливо.</w:t>
      </w:r>
    </w:p>
    <w:bookmarkEnd w:id="29"/>
    <w:bookmarkStart w:id="30" w:name="питання-до-автора"/>
    <w:p>
      <w:pPr>
        <w:pStyle w:val="Heading2"/>
      </w:pPr>
      <w:r>
        <w:t xml:space="preserve">Питання до автора</w:t>
      </w:r>
    </w:p>
    <w:p>
      <w:pPr>
        <w:pStyle w:val="Compact"/>
        <w:numPr>
          <w:ilvl w:val="0"/>
          <w:numId w:val="1003"/>
        </w:numPr>
      </w:pPr>
      <w:r>
        <w:t xml:space="preserve">Яка версія є канонічною для подання: 176-сторінковий</w:t>
      </w:r>
      <w:r>
        <w:t xml:space="preserve"> </w:t>
      </w:r>
      <w:r>
        <w:rPr>
          <w:rStyle w:val="VerbatimChar"/>
        </w:rPr>
        <w:t xml:space="preserve">dissertation_reviewed.pdf</w:t>
      </w:r>
      <w:r>
        <w:t xml:space="preserve"> </w:t>
      </w:r>
      <w:r>
        <w:t xml:space="preserve">чи поточні джерела, що формують 177 сторінок?</w:t>
      </w:r>
    </w:p>
    <w:p>
      <w:pPr>
        <w:pStyle w:val="Compact"/>
        <w:numPr>
          <w:ilvl w:val="0"/>
          <w:numId w:val="1003"/>
        </w:numPr>
      </w:pPr>
      <w:r>
        <w:t xml:space="preserve">Чи є підписані довідки/погодження співавторів, які дають змогу конкретно описати особистий внесок здобувача в кожну з дев’яти праць?</w:t>
      </w:r>
    </w:p>
    <w:p>
      <w:pPr>
        <w:pStyle w:val="Compact"/>
        <w:numPr>
          <w:ilvl w:val="0"/>
          <w:numId w:val="1003"/>
        </w:numPr>
      </w:pPr>
      <w:r>
        <w:t xml:space="preserve">Яка публікація безпосередньо містить модель мультимодального представлення, заявлену першим положенням новизни? Якщо такої немає, як планується виконати вимогу щодо оприлюднення основних результатів?</w:t>
      </w:r>
    </w:p>
    <w:p>
      <w:pPr>
        <w:pStyle w:val="Compact"/>
        <w:numPr>
          <w:ilvl w:val="0"/>
          <w:numId w:val="1003"/>
        </w:numPr>
      </w:pPr>
      <w:r>
        <w:t xml:space="preserve">Якою була фактична форма участі здобувача в кожній із семи конференцій/семінарів і які документи це підтверджують?</w:t>
      </w:r>
    </w:p>
    <w:p>
      <w:pPr>
        <w:pStyle w:val="Compact"/>
        <w:numPr>
          <w:ilvl w:val="0"/>
          <w:numId w:val="1003"/>
        </w:numPr>
      </w:pPr>
      <w:r>
        <w:t xml:space="preserve">Який бібліографічний стиль офіційно погоджено Хмельницьким національним університетом для цієї дисертації: IEEE чи інший рекомендований стиль?</w:t>
      </w:r>
    </w:p>
    <w:p>
      <w:pPr>
        <w:pStyle w:val="Compact"/>
        <w:numPr>
          <w:ilvl w:val="0"/>
          <w:numId w:val="1003"/>
        </w:numPr>
      </w:pPr>
      <w:r>
        <w:t xml:space="preserve">Як обчислено 122 сторінки основного тексту та які саме сторінки виключено з підрахунку?</w:t>
      </w:r>
    </w:p>
    <w:p>
      <w:pPr>
        <w:pStyle w:val="Compact"/>
        <w:numPr>
          <w:ilvl w:val="0"/>
          <w:numId w:val="1003"/>
        </w:numPr>
      </w:pPr>
      <w:r>
        <w:t xml:space="preserve">Чи існує повна специфікація функцій</w:t>
      </w:r>
      <w:r>
        <w:t xml:space="preserve"> </w:t>
      </w:r>
      <m:oMath>
        <m:sSub>
          <m:e>
            <m:r>
              <m:t>F</m:t>
            </m:r>
          </m:e>
          <m:sub>
            <m:r>
              <m:t>I</m:t>
            </m:r>
          </m:sub>
        </m:sSub>
      </m:oMath>
      <w:r>
        <w:t xml:space="preserve">,</w:t>
      </w:r>
      <w:r>
        <w:t xml:space="preserve"> </w:t>
      </w:r>
      <m:oMath>
        <m:sSub>
          <m:e>
            <m:r>
              <m:t>F</m:t>
            </m:r>
          </m:e>
          <m:sub>
            <m:r>
              <m:t>D</m:t>
            </m:r>
          </m:sub>
        </m:sSub>
      </m:oMath>
      <w:r>
        <w:t xml:space="preserve">,</w:t>
      </w:r>
      <w:r>
        <w:t xml:space="preserve"> </w:t>
      </w:r>
      <m:oMath>
        <m:sSub>
          <m:e>
            <m:r>
              <m:t>F</m:t>
            </m:r>
          </m:e>
          <m:sub>
            <m:r>
              <m:t>q</m:t>
            </m:r>
          </m:sub>
        </m:sSub>
      </m:oMath>
      <w:r>
        <w:t xml:space="preserve">,</w:t>
      </w:r>
      <w:r>
        <w:t xml:space="preserve"> </w:t>
      </w:r>
      <m:oMath>
        <m:sSub>
          <m:e>
            <m:r>
              <m:t>F</m:t>
            </m:r>
          </m:e>
          <m:sub>
            <m:r>
              <m:t>E</m:t>
            </m:r>
          </m:sub>
        </m:sSub>
      </m:oMath>
      <w:r>
        <w:t xml:space="preserve"> </w:t>
      </w:r>
      <w:r>
        <w:t xml:space="preserve">і таблиця всіх параметрів поза дисертацією; якщо так, де вона доступна для ради й повторної перевірки?</w:t>
      </w:r>
    </w:p>
    <w:p>
      <w:pPr>
        <w:pStyle w:val="Compact"/>
        <w:numPr>
          <w:ilvl w:val="0"/>
          <w:numId w:val="1003"/>
        </w:numPr>
      </w:pPr>
      <w:r>
        <w:t xml:space="preserve">Який перелік спеціальностей і галузей знань застосовується саме до року вступу здобувача, і чи підтверджено використання кодів 126/12 відділом аспірантури?</w:t>
      </w:r>
    </w:p>
    <w:bookmarkEnd w:id="30"/>
    <w:bookmarkStart w:id="31" w:name="рекомендація"/>
    <w:p>
      <w:pPr>
        <w:pStyle w:val="Heading2"/>
      </w:pPr>
      <w:r>
        <w:t xml:space="preserve">Рекомендація</w:t>
      </w:r>
    </w:p>
    <w:p>
      <w:pPr>
        <w:pStyle w:val="FirstParagraph"/>
      </w:pPr>
      <w:r>
        <w:t xml:space="preserve">Рукопис має добру структурну основу, охайну базову верстку та винятково чітке усвідомлення доказових меж. Проте до офіційного подання необхідно усунути формальні блокери: синхронізувати PDF із джерелами, виправити обсяг і лічильники, перенумерувати таблицю вступу, внести конкретний особистий внесок, підтвердити форми апробації та завершити публікаційну матрицю новизни. Після цього слід провести редакторське скорочення анотацій і повторів, уніфікувати позначення, формалізувати алгоритмічні «чорні скриньки», нормалізувати таблиці й бібліографію та виконати повторний посторінковий контроль фінального PDF.</w:t>
      </w:r>
    </w:p>
    <w:p>
      <w:pPr>
        <w:pStyle w:val="BodyText"/>
      </w:pPr>
      <w:r>
        <w:rPr>
          <w:b/>
          <w:bCs/>
        </w:rPr>
        <w:t xml:space="preserve">Рішення рецензента: рекомендувати до повторного розгляду після істотного доопрацювання; у поточній редакції не рекомендувати до подання на захист.</w:t>
      </w:r>
    </w:p>
    <w:bookmarkEnd w:id="31"/>
    <w:bookmarkEnd w:id="32"/>
    <w:sectPr w:rsidR="006F3AFB" w:rsidRPr="004C1203" w:rsidSect="000569DC">
      <w:pgSz w:h="15840" w:w="12240"/>
      <w:pgMar w:bottom="1440" w:footer="720" w:gutter="0" w:header="720" w:left="1440" w:right="1440" w:top="1440"/>
      <w:pgNumType w:start="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BDD"/>
    <w:rsid w:val="00020589"/>
    <w:rsid w:val="00026B37"/>
    <w:rsid w:val="000521C7"/>
    <w:rsid w:val="000569DC"/>
    <w:rsid w:val="0006612E"/>
    <w:rsid w:val="000A6FFA"/>
    <w:rsid w:val="000C313B"/>
    <w:rsid w:val="000D295F"/>
    <w:rsid w:val="000E6BA0"/>
    <w:rsid w:val="000F139B"/>
    <w:rsid w:val="0012159D"/>
    <w:rsid w:val="00140F3B"/>
    <w:rsid w:val="00142770"/>
    <w:rsid w:val="0014411D"/>
    <w:rsid w:val="00153D1A"/>
    <w:rsid w:val="001A7A23"/>
    <w:rsid w:val="001D6BDD"/>
    <w:rsid w:val="001E13F6"/>
    <w:rsid w:val="00267AB6"/>
    <w:rsid w:val="002D4959"/>
    <w:rsid w:val="002E71E5"/>
    <w:rsid w:val="002E76DC"/>
    <w:rsid w:val="002F0338"/>
    <w:rsid w:val="0033232E"/>
    <w:rsid w:val="00342874"/>
    <w:rsid w:val="003538B0"/>
    <w:rsid w:val="003A1082"/>
    <w:rsid w:val="003A6D6E"/>
    <w:rsid w:val="00450DF0"/>
    <w:rsid w:val="004605CD"/>
    <w:rsid w:val="00472D9C"/>
    <w:rsid w:val="00491C84"/>
    <w:rsid w:val="00497DAB"/>
    <w:rsid w:val="004C1203"/>
    <w:rsid w:val="004D0F4C"/>
    <w:rsid w:val="004E26B1"/>
    <w:rsid w:val="004E2D25"/>
    <w:rsid w:val="004F3137"/>
    <w:rsid w:val="00527657"/>
    <w:rsid w:val="00562A98"/>
    <w:rsid w:val="005900DF"/>
    <w:rsid w:val="00590790"/>
    <w:rsid w:val="005C16CE"/>
    <w:rsid w:val="005E1C17"/>
    <w:rsid w:val="006025E9"/>
    <w:rsid w:val="0061227C"/>
    <w:rsid w:val="00620C34"/>
    <w:rsid w:val="006226F2"/>
    <w:rsid w:val="00630FDA"/>
    <w:rsid w:val="00662C90"/>
    <w:rsid w:val="00664279"/>
    <w:rsid w:val="006853B4"/>
    <w:rsid w:val="00696417"/>
    <w:rsid w:val="006A2464"/>
    <w:rsid w:val="006A51F0"/>
    <w:rsid w:val="006A6608"/>
    <w:rsid w:val="006D30AC"/>
    <w:rsid w:val="006F3864"/>
    <w:rsid w:val="006F3AFB"/>
    <w:rsid w:val="00703607"/>
    <w:rsid w:val="007220D1"/>
    <w:rsid w:val="00762878"/>
    <w:rsid w:val="007A7062"/>
    <w:rsid w:val="007C4F9F"/>
    <w:rsid w:val="00805921"/>
    <w:rsid w:val="00830F5B"/>
    <w:rsid w:val="00841F7A"/>
    <w:rsid w:val="008539A8"/>
    <w:rsid w:val="008742DC"/>
    <w:rsid w:val="008867AD"/>
    <w:rsid w:val="008A38D7"/>
    <w:rsid w:val="008B3E18"/>
    <w:rsid w:val="008D1B87"/>
    <w:rsid w:val="008E0BE2"/>
    <w:rsid w:val="00905DA6"/>
    <w:rsid w:val="00916B40"/>
    <w:rsid w:val="00944DB9"/>
    <w:rsid w:val="009670AE"/>
    <w:rsid w:val="009E05A8"/>
    <w:rsid w:val="009F0B2F"/>
    <w:rsid w:val="00A16C52"/>
    <w:rsid w:val="00A67D7B"/>
    <w:rsid w:val="00A761F6"/>
    <w:rsid w:val="00AB45B0"/>
    <w:rsid w:val="00AE2D87"/>
    <w:rsid w:val="00B440AF"/>
    <w:rsid w:val="00B50055"/>
    <w:rsid w:val="00B523F3"/>
    <w:rsid w:val="00B621FA"/>
    <w:rsid w:val="00B72124"/>
    <w:rsid w:val="00B72D95"/>
    <w:rsid w:val="00B9041E"/>
    <w:rsid w:val="00C06DA0"/>
    <w:rsid w:val="00C3130E"/>
    <w:rsid w:val="00C6773A"/>
    <w:rsid w:val="00C73E97"/>
    <w:rsid w:val="00C772B3"/>
    <w:rsid w:val="00C94F2A"/>
    <w:rsid w:val="00CA427B"/>
    <w:rsid w:val="00CB76D3"/>
    <w:rsid w:val="00CC16E8"/>
    <w:rsid w:val="00D071C2"/>
    <w:rsid w:val="00D379CF"/>
    <w:rsid w:val="00D41A22"/>
    <w:rsid w:val="00DA5EE3"/>
    <w:rsid w:val="00DC53DD"/>
    <w:rsid w:val="00E12AE4"/>
    <w:rsid w:val="00E704DE"/>
    <w:rsid w:val="00E74A60"/>
    <w:rsid w:val="00EA7D15"/>
    <w:rsid w:val="00EC32D7"/>
    <w:rsid w:val="00EC77E1"/>
    <w:rsid w:val="00ED3A41"/>
    <w:rsid w:val="00EF6B6D"/>
    <w:rsid w:val="00F01020"/>
    <w:rsid w:val="00F23F4C"/>
    <w:rsid w:val="00F40828"/>
    <w:rsid w:val="00F41C50"/>
    <w:rsid w:val="00F46310"/>
    <w:rsid w:val="00F66750"/>
    <w:rsid w:val="00F876D7"/>
    <w:rsid w:val="00FA2C40"/>
    <w:rsid w:val="00FA69C0"/>
    <w:rsid w:val="00FF131E"/>
  </w:rsids>
  <w:themeFontLang w:val="uk-U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uk-UA" w:val="en"/>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2159D"/>
  </w:style>
  <w:style w:styleId="Heading1" w:type="paragraph">
    <w:name w:val="heading 1"/>
    <w:basedOn w:val="Normal"/>
    <w:next w:val="Normal"/>
    <w:uiPriority w:val="9"/>
    <w:qFormat/>
    <w:rsid w:val="006D30AC"/>
    <w:pPr>
      <w:keepNext/>
      <w:keepLines/>
      <w:spacing w:after="120" w:before="120"/>
      <w:outlineLvl w:val="0"/>
    </w:pPr>
    <w:rPr>
      <w:sz w:val="32"/>
      <w:szCs w:val="40"/>
    </w:rPr>
  </w:style>
  <w:style w:styleId="Heading2" w:type="paragraph">
    <w:name w:val="heading 2"/>
    <w:basedOn w:val="Normal"/>
    <w:next w:val="Normal"/>
    <w:uiPriority w:val="9"/>
    <w:unhideWhenUsed/>
    <w:qFormat/>
    <w:rsid w:val="006D30AC"/>
    <w:pPr>
      <w:keepNext/>
      <w:keepLines/>
      <w:spacing w:after="120" w:before="120"/>
      <w:outlineLvl w:val="1"/>
    </w:pPr>
    <w:rPr>
      <w:sz w:val="28"/>
      <w:szCs w:val="32"/>
    </w:rPr>
  </w:style>
  <w:style w:styleId="Heading3" w:type="paragraph">
    <w:name w:val="heading 3"/>
    <w:basedOn w:val="Normal"/>
    <w:next w:val="Normal"/>
    <w:uiPriority w:val="9"/>
    <w:semiHidden/>
    <w:unhideWhenUsed/>
    <w:qFormat/>
    <w:pPr>
      <w:keepNext/>
      <w:keepLines/>
      <w:spacing w:after="80" w:before="320"/>
      <w:outlineLvl w:val="2"/>
    </w:pPr>
    <w:rPr>
      <w:color w:val="434343"/>
      <w:sz w:val="28"/>
      <w:szCs w:val="28"/>
    </w:rPr>
  </w:style>
  <w:style w:styleId="Heading4" w:type="paragraph">
    <w:name w:val="heading 4"/>
    <w:basedOn w:val="Normal"/>
    <w:next w:val="Normal"/>
    <w:uiPriority w:val="9"/>
    <w:semiHidden/>
    <w:unhideWhenUsed/>
    <w:qFormat/>
    <w:pPr>
      <w:keepNext/>
      <w:keepLines/>
      <w:spacing w:after="80" w:before="280"/>
      <w:outlineLvl w:val="3"/>
    </w:pPr>
    <w:rPr>
      <w:color w:val="666666"/>
      <w:sz w:val="24"/>
      <w:szCs w:val="24"/>
    </w:rPr>
  </w:style>
  <w:style w:styleId="Heading5" w:type="paragraph">
    <w:name w:val="heading 5"/>
    <w:basedOn w:val="Normal"/>
    <w:next w:val="Normal"/>
    <w:uiPriority w:val="9"/>
    <w:semiHidden/>
    <w:unhideWhenUsed/>
    <w:qFormat/>
    <w:pPr>
      <w:keepNext/>
      <w:keepLines/>
      <w:spacing w:after="80" w:before="240"/>
      <w:outlineLvl w:val="4"/>
    </w:pPr>
    <w:rPr>
      <w:color w:val="666666"/>
    </w:rPr>
  </w:style>
  <w:style w:styleId="Heading6" w:type="paragraph">
    <w:name w:val="heading 6"/>
    <w:basedOn w:val="Normal"/>
    <w:next w:val="Normal"/>
    <w:uiPriority w:val="9"/>
    <w:semiHidden/>
    <w:unhideWhenUsed/>
    <w:qFormat/>
    <w:pPr>
      <w:keepNext/>
      <w:keepLines/>
      <w:spacing w:after="80" w:before="240"/>
      <w:outlineLvl w:val="5"/>
    </w:pPr>
    <w:rPr>
      <w:i/>
      <w:color w:val="66666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uiPriority w:val="10"/>
    <w:qFormat/>
    <w:pPr>
      <w:keepNext/>
      <w:keepLines/>
      <w:spacing w:after="60"/>
    </w:pPr>
    <w:rPr>
      <w:sz w:val="52"/>
      <w:szCs w:val="52"/>
    </w:rPr>
  </w:style>
  <w:style w:styleId="Subtitle" w:type="paragraph">
    <w:name w:val="Subtitle"/>
    <w:basedOn w:val="Normal"/>
    <w:next w:val="Normal"/>
    <w:uiPriority w:val="11"/>
    <w:qFormat/>
    <w:pPr>
      <w:keepNext/>
      <w:keepLines/>
      <w:spacing w:after="320"/>
    </w:pPr>
    <w:rPr>
      <w:color w:val="666666"/>
      <w:sz w:val="30"/>
      <w:szCs w:val="30"/>
    </w:rPr>
  </w:style>
  <w:style w:styleId="LineNumber" w:type="character">
    <w:name w:val="line number"/>
    <w:basedOn w:val="DefaultParagraphFont"/>
    <w:uiPriority w:val="99"/>
    <w:semiHidden/>
    <w:unhideWhenUsed/>
    <w:rsid w:val="007220D1"/>
  </w:style>
  <w:style w:styleId="ListParagraph" w:type="paragraph">
    <w:name w:val="List Paragraph"/>
    <w:basedOn w:val="Normal"/>
    <w:uiPriority w:val="34"/>
    <w:qFormat/>
    <w:rsid w:val="008539A8"/>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zakon.rada.gov.ua/go/44-2022-%D0%BF" TargetMode="External" /><Relationship Type="http://schemas.openxmlformats.org/officeDocument/2006/relationships/hyperlink" Id="rId11" Target="https://zakon.rada.gov.ua/go/507-2024-%D0%BF" TargetMode="External" /><Relationship Type="http://schemas.openxmlformats.org/officeDocument/2006/relationships/hyperlink" Id="rId9" Target="https://zakon.rada.gov.ua/go/z0155-17" TargetMode="External" /></Relationships>
</file>

<file path=word/_rels/footnotes.xml.rels><?xml version="1.0" encoding="UTF-8"?><Relationships xmlns="http://schemas.openxmlformats.org/package/2006/relationships"><Relationship Type="http://schemas.openxmlformats.org/officeDocument/2006/relationships/hyperlink" Id="rId10" Target="https://zakon.rada.gov.ua/go/44-2022-%D0%BF" TargetMode="External" /><Relationship Type="http://schemas.openxmlformats.org/officeDocument/2006/relationships/hyperlink" Id="rId11" Target="https://zakon.rada.gov.ua/go/507-2024-%D0%BF" TargetMode="External" /><Relationship Type="http://schemas.openxmlformats.org/officeDocument/2006/relationships/hyperlink" Id="rId9" Target="https://zakon.rada.gov.ua/go/z0155-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6</Pages>
  <Words>2469</Words>
  <Characters>14076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2026-07-21T09:36:23Z</dcterms:created>
  <dcterms:modified xsi:type="dcterms:W3CDTF">2026-07-21T09:36:23Z</dcterms:modified>
</cp:coreProperties>
</file>

<file path=docProps/custom.xml><?xml version="1.0" encoding="utf-8"?>
<Properties xmlns="http://schemas.openxmlformats.org/officeDocument/2006/custom-properties" xmlns:vt="http://schemas.openxmlformats.org/officeDocument/2006/docPropsVTypes"/>
</file>