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незалежна-рецензія--4"/>
    <w:p>
      <w:pPr>
        <w:pStyle w:val="Heading1"/>
      </w:pPr>
      <w:r>
        <w:t xml:space="preserve">Незалежна рецензія № 4</w:t>
      </w:r>
    </w:p>
    <w:bookmarkStart w:id="9" w:name="X77fdfeefd40726e90378140af8018ee03bf8fd6"/>
    <w:p>
      <w:pPr>
        <w:pStyle w:val="Heading2"/>
      </w:pPr>
      <w:r>
        <w:t xml:space="preserve">Інтегральна оцінка з позиції офіційного опонента</w:t>
      </w:r>
    </w:p>
    <w:p>
      <w:pPr>
        <w:pStyle w:val="FirstParagraph"/>
      </w:pPr>
      <w:r>
        <w:rPr>
          <w:b/>
          <w:bCs/>
        </w:rPr>
        <w:t xml:space="preserve">Робота:</w:t>
      </w:r>
      <w:r>
        <w:t xml:space="preserve"> </w:t>
      </w:r>
      <w:r>
        <w:t xml:space="preserve">Дмитро Денисюк, «Інформаційна технологія виявлення аномальних кодів у фото- та відеооб’єктах вебресурсів»</w:t>
      </w:r>
      <w:r>
        <w:br/>
      </w:r>
      <w:r>
        <w:rPr>
          <w:b/>
          <w:bCs/>
        </w:rPr>
        <w:t xml:space="preserve">Спеціальність:</w:t>
      </w:r>
      <w:r>
        <w:t xml:space="preserve"> </w:t>
      </w:r>
      <w:r>
        <w:t xml:space="preserve">126 «Інформаційні системи та технології»</w:t>
      </w:r>
      <w:r>
        <w:br/>
      </w:r>
      <w:r>
        <w:rPr>
          <w:b/>
          <w:bCs/>
        </w:rPr>
        <w:t xml:space="preserve">Матеріал рецензування:</w:t>
      </w:r>
      <w:r>
        <w:t xml:space="preserve"> </w:t>
      </w:r>
      <w:r>
        <w:t xml:space="preserve">завершена редакція дисертації обсягом 176 сторінок (</w:t>
      </w:r>
      <w:r>
        <w:rPr>
          <w:rStyle w:val="VerbatimChar"/>
        </w:rPr>
        <w:t xml:space="preserve">dissertation_reviewed.pdf</w:t>
      </w:r>
      <w:r>
        <w:t xml:space="preserve">)</w:t>
      </w:r>
      <w:r>
        <w:br/>
      </w:r>
      <w:r>
        <w:rPr>
          <w:b/>
          <w:bCs/>
        </w:rPr>
        <w:t xml:space="preserve">Дата рецензування:</w:t>
      </w:r>
      <w:r>
        <w:t xml:space="preserve"> </w:t>
      </w:r>
      <w:r>
        <w:t xml:space="preserve">21 липня 2026 р.</w:t>
      </w:r>
    </w:p>
    <w:bookmarkEnd w:id="9"/>
    <w:bookmarkStart w:id="10" w:name="Xf20f2d48cd91c872c4bc69200e8d1692dde9346"/>
    <w:p>
      <w:pPr>
        <w:pStyle w:val="Heading2"/>
      </w:pPr>
      <w:r>
        <w:t xml:space="preserve">1. Загальна оцінка та рекомендація</w:t>
      </w:r>
    </w:p>
    <w:p>
      <w:pPr>
        <w:pStyle w:val="FirstParagraph"/>
      </w:pPr>
      <w:r>
        <w:t xml:space="preserve">Робота розв’язує актуальну задачу організації перевірки мультимедійних об’єктів у вебсистемах, коли потенційно релевантні свідчення містяться у різних представленнях одного носія: структурному, спектрально-зоровому та подієво-поведінковому. Сильною стороною рукопису є простежувана логіка від дослідницької прогалини до моделі, двох методів, п’ятиетапної інформаційної технології та серії експериментів. Автор також незвично чітко розмежовує формально одержані, експериментально перевірені й неперевірені результати.</w:t>
      </w:r>
    </w:p>
    <w:p>
      <w:pPr>
        <w:pStyle w:val="BodyText"/>
      </w:pPr>
      <w:r>
        <w:t xml:space="preserve">Водночас центральне формулювання про</w:t>
      </w:r>
      <w:r>
        <w:t xml:space="preserve"> </w:t>
      </w:r>
      <w:r>
        <w:rPr>
          <w:b/>
          <w:bCs/>
        </w:rPr>
        <w:t xml:space="preserve">виявлення аномальних кодів</w:t>
      </w:r>
      <w:r>
        <w:t xml:space="preserve"> </w:t>
      </w:r>
      <w:r>
        <w:t xml:space="preserve">ширше за фактично перевірений експериментальний конструкт — контрольовано внесені структурні та статистичні зміни. Один із двох заявлених методів, а саме повне поведінкове узгодження, не реалізовано й не перевірено. Числове відтворення частини статичного методу з самого рукопису неможливе через відсутні параметри. Немає також безпосереднього доступу до заявлених експериментальних пакетів і повного документованого зіставлення положень новизни з публікаціями та особистим внеском здобувача.</w:t>
      </w:r>
    </w:p>
    <w:p>
      <w:pPr>
        <w:pStyle w:val="BodyText"/>
      </w:pPr>
      <w:r>
        <w:rPr>
          <w:b/>
          <w:bCs/>
        </w:rPr>
        <w:t xml:space="preserve">Рекомендація: суттєве доопрацювання перед поданням до захисту.</w:t>
      </w:r>
      <w:r>
        <w:t xml:space="preserve"> </w:t>
      </w:r>
      <w:r>
        <w:t xml:space="preserve">Після звуження або належного підтвердження центрального твердження, повного комплектування відтворюваного пакета, коректного позиціонування неперевіреного поведінкового методу та усунення формальних ризиків щодо публікацій робота може бути повторно розглянута для рекомендації до захисту.</w:t>
      </w:r>
    </w:p>
    <w:bookmarkEnd w:id="10"/>
    <w:bookmarkStart w:id="11" w:name="X7b250823c8c2033ce01badb62d5ba360070f37d"/>
    <w:p>
      <w:pPr>
        <w:pStyle w:val="Heading2"/>
      </w:pPr>
      <w:r>
        <w:t xml:space="preserve">2. Сильні сторони</w:t>
      </w:r>
    </w:p>
    <w:p>
      <w:pPr>
        <w:pStyle w:val="Compact"/>
        <w:numPr>
          <w:ilvl w:val="0"/>
          <w:numId w:val="1001"/>
        </w:numPr>
      </w:pPr>
      <w:r>
        <w:rPr>
          <w:b/>
          <w:bCs/>
        </w:rPr>
        <w:t xml:space="preserve">Чітка архітектура дослідження.</w:t>
      </w:r>
      <w:r>
        <w:t xml:space="preserve"> </w:t>
      </w:r>
      <w:r>
        <w:t xml:space="preserve">У вступі наведено матрицю «завдання — результат — експериментальна опора — доказовий статус» (с. 23–24), що робить межі тверджень доступними для перевірки.</w:t>
      </w:r>
    </w:p>
    <w:p>
      <w:pPr>
        <w:pStyle w:val="Compact"/>
        <w:numPr>
          <w:ilvl w:val="0"/>
          <w:numId w:val="1001"/>
        </w:numPr>
      </w:pPr>
      <w:r>
        <w:rPr>
          <w:b/>
          <w:bCs/>
        </w:rPr>
        <w:t xml:space="preserve">Коректне поводження з відсутньою модальністю.</w:t>
      </w:r>
      <w:r>
        <w:t xml:space="preserve"> </w:t>
      </w:r>
      <w:r>
        <w:t xml:space="preserve">У моделі відсутність журналу або іншого каналу не прирівнюється до нульової аномальності. Ризик відокремлено від упевненості, а аналітичний стан — від дії політики (розділ 2, с. 70–81).</w:t>
      </w:r>
    </w:p>
    <w:p>
      <w:pPr>
        <w:pStyle w:val="Compact"/>
        <w:numPr>
          <w:ilvl w:val="0"/>
          <w:numId w:val="1001"/>
        </w:numPr>
      </w:pPr>
      <w:r>
        <w:rPr>
          <w:b/>
          <w:bCs/>
        </w:rPr>
        <w:t xml:space="preserve">Свідоме врахування залежності похідних.</w:t>
      </w:r>
      <w:r>
        <w:t xml:space="preserve"> </w:t>
      </w:r>
      <w:r>
        <w:t xml:space="preserve">Автор не прирівнює 10 000 або 2 000 похідних файлів до такої самої кількості незалежних джерел, застосовує груповий поділ і блокове повторне вибирання та прямо пояснює обмеження одиниць аналізу (с. 124–130, 136–140, 145–147).</w:t>
      </w:r>
    </w:p>
    <w:p>
      <w:pPr>
        <w:pStyle w:val="Compact"/>
        <w:numPr>
          <w:ilvl w:val="0"/>
          <w:numId w:val="1001"/>
        </w:numPr>
      </w:pPr>
      <w:r>
        <w:rPr>
          <w:b/>
          <w:bCs/>
        </w:rPr>
        <w:t xml:space="preserve">Зовнішня перевірка змінює, а не підтверджує за замовчуванням, первинний висновок.</w:t>
      </w:r>
      <w:r>
        <w:t xml:space="preserve"> </w:t>
      </w:r>
      <w:r>
        <w:t xml:space="preserve">На природних відеозаписах спектрально-зорова конфігурація виявила слабку переносимість, а спільна не підтвердила переваги над структурною (с. 135–136). Це підвищує довіру до наукової доброчесності викладу.</w:t>
      </w:r>
    </w:p>
    <w:p>
      <w:pPr>
        <w:pStyle w:val="Compact"/>
        <w:numPr>
          <w:ilvl w:val="0"/>
          <w:numId w:val="1001"/>
        </w:numPr>
      </w:pPr>
      <w:r>
        <w:rPr>
          <w:b/>
          <w:bCs/>
        </w:rPr>
        <w:t xml:space="preserve">Збалансоване подання негативних результатів.</w:t>
      </w:r>
      <w:r>
        <w:t xml:space="preserve"> </w:t>
      </w:r>
      <w:r>
        <w:t xml:space="preserve">Показано, що форматно-адаптивний шлюз усунув 76 хибнопозитивних рішень, але додав 84 пропуски, зменшив загальну правильність і не виявив 500 суто спектральних змін; результат не названо безумовною перевагою (с. 139–140, 148).</w:t>
      </w:r>
    </w:p>
    <w:p>
      <w:pPr>
        <w:pStyle w:val="Compact"/>
        <w:numPr>
          <w:ilvl w:val="0"/>
          <w:numId w:val="1001"/>
        </w:numPr>
      </w:pPr>
      <w:r>
        <w:rPr>
          <w:b/>
          <w:bCs/>
        </w:rPr>
        <w:t xml:space="preserve">Добра структурна й візуальна якість.</w:t>
      </w:r>
      <w:r>
        <w:t xml:space="preserve"> </w:t>
      </w:r>
      <w:r>
        <w:t xml:space="preserve">Формули, таблиці, схеми, позначення та переходи між розділами загалом узгоджені. Великі таблиці читаються, а висновки розділів відповідають основному тексту.</w:t>
      </w:r>
    </w:p>
    <w:bookmarkEnd w:id="11"/>
    <w:bookmarkStart w:id="22" w:name="Xef91658764f445d882f32d877ce92230eeb649a"/>
    <w:p>
      <w:pPr>
        <w:pStyle w:val="Heading2"/>
      </w:pPr>
      <w:r>
        <w:t xml:space="preserve">3. Основні зауваження</w:t>
      </w:r>
    </w:p>
    <w:bookmarkStart w:id="12" w:name="Xe94d7c0f2bb209d260f94f0ace1cdb255e32637"/>
    <w:p>
      <w:pPr>
        <w:pStyle w:val="Heading3"/>
      </w:pPr>
      <w:r>
        <w:t xml:space="preserve">3.1. Центральний конструкт роботи не відповідає експериментальній мітці</w:t>
      </w:r>
    </w:p>
    <w:p>
      <w:pPr>
        <w:pStyle w:val="FirstParagraph"/>
      </w:pPr>
      <w:r>
        <w:t xml:space="preserve">Назва, мета, об’єкт і підсумкові положення використовують поняття «виявлення аномальних кодів». Проте позитивна мітка позначає внесену структурну або статистичну зміну, а контрольні рядки не є виконуваним програмним кодом (анотація, с. 4–7; вступ, с. 22, 27–28; табл. 4.21, с. 146). Дисертація чесно визнає, що не підтверджено ані наявності, ані виконання шкідливого коду. Через це експеримент валідовує детектор змін носія, але не детектор коду в програмно-семантичному значенні.</w:t>
      </w:r>
    </w:p>
    <w:p>
      <w:pPr>
        <w:pStyle w:val="BodyText"/>
      </w:pPr>
      <w:r>
        <w:rPr>
          <w:b/>
          <w:bCs/>
        </w:rPr>
        <w:t xml:space="preserve">Необхідне доопрацювання:</w:t>
      </w:r>
      <w:r>
        <w:t xml:space="preserve"> </w:t>
      </w:r>
      <w:r>
        <w:t xml:space="preserve">або звузити назву, мету, об’єкт, предмет, новизну й висновки до виявлення структурних/статистичних аномалій мультимедійного носія, або додати окремий експеримент із багаторівневою еталонною розміткою: наявність прихованих даних, наявність виконуваного фрагмента, його активація конкретним компонентом і причинно пов’язаний наслідок. Без цього ключове узагальнення залишається ширшим за доказову базу.</w:t>
      </w:r>
    </w:p>
    <w:bookmarkEnd w:id="12"/>
    <w:bookmarkStart w:id="13" w:name="X14a882e70e8deb14eb6e23802d3e1f2a6c04622"/>
    <w:p>
      <w:pPr>
        <w:pStyle w:val="Heading3"/>
      </w:pPr>
      <w:r>
        <w:t xml:space="preserve">3.2. Один із двох заявлених методів залишається переважно формальною конструкцією</w:t>
      </w:r>
    </w:p>
    <w:p>
      <w:pPr>
        <w:pStyle w:val="FirstParagraph"/>
      </w:pPr>
      <w:r>
        <w:t xml:space="preserve">Метод поведінкового узгодження є окремим положенням новизни, проте причинно пов’язані журнали</w:t>
      </w:r>
      <w:r>
        <w:t xml:space="preserve"> </w:t>
      </w:r>
      <w:r>
        <w:rPr>
          <w:rStyle w:val="VerbatimChar"/>
        </w:rPr>
        <w:t xml:space="preserve">X_b</w:t>
      </w:r>
      <w:r>
        <w:t xml:space="preserve"> </w:t>
      </w:r>
      <w:r>
        <w:t xml:space="preserve">і повне представлення</w:t>
      </w:r>
      <w:r>
        <w:t xml:space="preserve"> </w:t>
      </w:r>
      <w:r>
        <w:rPr>
          <w:rStyle w:val="VerbatimChar"/>
        </w:rPr>
        <w:t xml:space="preserve">Z_b</w:t>
      </w:r>
      <w:r>
        <w:t xml:space="preserve"> </w:t>
      </w:r>
      <w:r>
        <w:t xml:space="preserve">не сформовано, доступна технічна ознака не спрацювала у 4 832 унікальних відеооб’єктах, а кодувальник послідовностей і перехресне зіставлення не навчено й не перевірено (с. 100–106, 146, 149, 152–153). Форматно-адаптивний шлюз використовує статичні оцінки та відомості про формат і не є емпіричною реалізацією цього методу.</w:t>
      </w:r>
    </w:p>
    <w:p>
      <w:pPr>
        <w:pStyle w:val="BodyText"/>
      </w:pPr>
      <w:r>
        <w:rPr>
          <w:b/>
          <w:bCs/>
        </w:rPr>
        <w:t xml:space="preserve">Необхідне доопрацювання:</w:t>
      </w:r>
      <w:r>
        <w:t xml:space="preserve"> </w:t>
      </w:r>
      <w:r>
        <w:t xml:space="preserve">чітко змінити статус положення на «формалізовано підхід/умови методу» або виконати проспективний експеримент із парними журналами штатного та зміненого оброблення того самого об’єкта, причинною прив’язкою подій до фаз, навчанням лише на навчальній частині та одноразовим тестуванням на нових групах. У теперішній редакції формальна новизна можлива, але заявляти експериментально підтверджений метод не можна.</w:t>
      </w:r>
    </w:p>
    <w:bookmarkEnd w:id="13"/>
    <w:bookmarkStart w:id="14" w:name="Xae0c3aeb72f1be5ce3089d39ad3b3072cc31b8e"/>
    <w:p>
      <w:pPr>
        <w:pStyle w:val="Heading3"/>
      </w:pPr>
      <w:r>
        <w:t xml:space="preserve">3.3. Рукопис не забезпечує числової відтворюваності статичного методу</w:t>
      </w:r>
    </w:p>
    <w:p>
      <w:pPr>
        <w:pStyle w:val="FirstParagraph"/>
      </w:pPr>
      <w:r>
        <w:t xml:space="preserve">Таблиця 3.4 прямо фіксує відсутність числових значень локального вікна й кроку, меж гістограми, ядер і нормування залишкових фільтрів, типу вейвлета, рівня розкладу, вибору коефіцієнтів і локального порога (с. 94–95). У розділі 2 не наведено підтверджених ваг інтеграції</w:t>
      </w:r>
      <w:r>
        <w:t xml:space="preserve"> </w:t>
      </w:r>
      <w:r>
        <w:rPr>
          <w:rStyle w:val="VerbatimChar"/>
        </w:rPr>
        <w:t xml:space="preserve">ω_v</w:t>
      </w:r>
      <w:r>
        <w:t xml:space="preserve">,</w:t>
      </w:r>
      <w:r>
        <w:t xml:space="preserve"> </w:t>
      </w:r>
      <w:r>
        <w:rPr>
          <w:rStyle w:val="VerbatimChar"/>
        </w:rPr>
        <w:t xml:space="preserve">ω_s</w:t>
      </w:r>
      <w:r>
        <w:t xml:space="preserve">,</w:t>
      </w:r>
      <w:r>
        <w:t xml:space="preserve"> </w:t>
      </w:r>
      <w:r>
        <w:rPr>
          <w:rStyle w:val="VerbatimChar"/>
        </w:rPr>
        <w:t xml:space="preserve">ω_b</w:t>
      </w:r>
      <w:r>
        <w:t xml:space="preserve">,</w:t>
      </w:r>
      <w:r>
        <w:t xml:space="preserve"> </w:t>
      </w:r>
      <w:r>
        <w:rPr>
          <w:rStyle w:val="VerbatimChar"/>
        </w:rPr>
        <w:t xml:space="preserve">ω_q</w:t>
      </w:r>
      <w:r>
        <w:t xml:space="preserve"> </w:t>
      </w:r>
      <w:r>
        <w:t xml:space="preserve">і калібрування для масок доступності (с. 76). Для поведінкової частини немає повного каталогу правил, словників, порядку компонентів і порогів (с. 104–106). Отже, формули задають клас процедур, але незалежний дослідник не може реалізувати саме оцінену конфігурацію.</w:t>
      </w:r>
    </w:p>
    <w:p>
      <w:pPr>
        <w:pStyle w:val="BodyText"/>
      </w:pPr>
      <w:r>
        <w:rPr>
          <w:b/>
          <w:bCs/>
        </w:rPr>
        <w:t xml:space="preserve">Необхідне доопрацювання:</w:t>
      </w:r>
      <w:r>
        <w:t xml:space="preserve"> </w:t>
      </w:r>
      <w:r>
        <w:t xml:space="preserve">долучити версіонований машинозчитуваний файл конфігурації, параметри моделей і пороги, точні процедури передоброблення, схеми ознак, початкові значення генераторів, версії залежностей та контрольні суми. У тексті слід дати стале посилання на пакет і таблицю відповідності «формула/таблиця — поле конфігурації».</w:t>
      </w:r>
    </w:p>
    <w:bookmarkEnd w:id="14"/>
    <w:bookmarkStart w:id="15" w:name="X3afea8bfa3863636aefddb75332bad03e844f7e"/>
    <w:p>
      <w:pPr>
        <w:pStyle w:val="Heading3"/>
      </w:pPr>
      <w:r>
        <w:t xml:space="preserve">3.4. Заявлена збереженість коду й даних не дорівнює їх доступності для перевірки</w:t>
      </w:r>
    </w:p>
    <w:p>
      <w:pPr>
        <w:pStyle w:val="FirstParagraph"/>
      </w:pPr>
      <w:r>
        <w:t xml:space="preserve">У роботі сказано, що для внутрішньої та зовнішніх серій збережено код, реєстри походження, ознаки, рішення, параметри середовища та контрольні суми (с. 4, 153–154). Однак рукопис не містить DOI, URL репозитарію, ідентифікатора архіву, переліку файлів або процедури контрольованого доступу. У наданому комплекті дисертації також немає цих наборів і виконуваного коду.</w:t>
      </w:r>
    </w:p>
    <w:p>
      <w:pPr>
        <w:pStyle w:val="BodyText"/>
      </w:pPr>
      <w:r>
        <w:rPr>
          <w:b/>
          <w:bCs/>
        </w:rPr>
        <w:t xml:space="preserve">Необхідне доопрацювання:</w:t>
      </w:r>
      <w:r>
        <w:t xml:space="preserve"> </w:t>
      </w:r>
      <w:r>
        <w:t xml:space="preserve">додати окремий розділ «Доступність даних і програмного забезпечення» зі сталим ідентифікатором, ліцензією, описом обмежень доступу та маніфестом контрольних сум. Якщо вихідні відеозаписи не можна поширювати, мають бути оприлюднені скрипти одержання, ідентифікатори джерел, генератори похідних, моделі, конфігурації та пооб’єктні результати.</w:t>
      </w:r>
    </w:p>
    <w:bookmarkEnd w:id="15"/>
    <w:bookmarkStart w:id="16" w:name="X8694c6508b450a481f4522a36193a52489865b4"/>
    <w:p>
      <w:pPr>
        <w:pStyle w:val="Heading3"/>
      </w:pPr>
      <w:r>
        <w:t xml:space="preserve">3.5. Обсяг зовнішніх незалежних джерел недостатній для широкого узагальнення</w:t>
      </w:r>
    </w:p>
    <w:p>
      <w:pPr>
        <w:pStyle w:val="FirstParagraph"/>
      </w:pPr>
      <w:r>
        <w:t xml:space="preserve">Чотири зовнішні набори разом охоплюють 38 природних записів, 12 пристроїв і 24 групи походження. Водночас серії на 56, 32, 10 000 і 2 000 похідних утворені відповідно лише з 8, 4, 4 і 8 груп «пристрій–сцена»; сама робота коректно це визнає (с. 145–147). Для окремої підтверджувальної серії на чотирьох групах мінімальне двобічне значення знакового критерію дорівнює 0,125 (с. 129, 137), тобто дизайн заздалегідь не міг підтвердити ефект на рівні 0,05.</w:t>
      </w:r>
    </w:p>
    <w:p>
      <w:pPr>
        <w:pStyle w:val="BodyText"/>
      </w:pPr>
      <w:r>
        <w:rPr>
          <w:b/>
          <w:bCs/>
        </w:rPr>
        <w:t xml:space="preserve">Необхідне доопрацювання:</w:t>
      </w:r>
      <w:r>
        <w:t xml:space="preserve"> </w:t>
      </w:r>
      <w:r>
        <w:t xml:space="preserve">надати апріорне обґрунтування кількості незалежних груп і цільової точності оцінок; розширити перевірку за пристроями, сценами, кодеками, профілями кодування й вебплатформами. Основні довірчі інтервали мають будуватися на рівні первинних незалежних джерел, а не похідних файлів.</w:t>
      </w:r>
    </w:p>
    <w:bookmarkEnd w:id="16"/>
    <w:bookmarkStart w:id="17" w:name="Xae3e2bb48bee909442fefb252f059ac6ab9c269"/>
    <w:p>
      <w:pPr>
        <w:pStyle w:val="Heading3"/>
      </w:pPr>
      <w:r>
        <w:t xml:space="preserve">3.6. Порівняння з сучасним станом галузі залишається переважно оглядовим</w:t>
      </w:r>
    </w:p>
    <w:p>
      <w:pPr>
        <w:pStyle w:val="FirstParagraph"/>
      </w:pPr>
      <w:r>
        <w:t xml:space="preserve">Розділ 1 містить сучасні праці зі стегоаналізу та правильно пояснює різницю між зоровими й структурними задачами. Проте експериментальні базові лінії обмежені структурною, спектрально-зоровою та спільною власними конфігураціями, а також трьома класичними статистичними показниками —</w:t>
      </w:r>
      <w:r>
        <w:t xml:space="preserve"> </w:t>
      </w:r>
      <w:r>
        <w:rPr>
          <w:rStyle w:val="VerbatimChar"/>
        </w:rPr>
        <w:t xml:space="preserve">χ²</w:t>
      </w:r>
      <w:r>
        <w:t xml:space="preserve">, RS і Sample Pair — які дали результат поблизу випадкового (с. 129, 138–139). Немає сучасного навчуваного стегоаналізатора або спеціалізованого детектора структурних аномалій, запущеного на тих самих незалежних групах.</w:t>
      </w:r>
    </w:p>
    <w:p>
      <w:pPr>
        <w:pStyle w:val="BodyText"/>
      </w:pPr>
      <w:r>
        <w:rPr>
          <w:b/>
          <w:bCs/>
        </w:rPr>
        <w:t xml:space="preserve">Необхідне доопрацювання:</w:t>
      </w:r>
      <w:r>
        <w:t xml:space="preserve"> </w:t>
      </w:r>
      <w:r>
        <w:t xml:space="preserve">додати щонайменше одну сильну сучасну зорову базову модель і один структурний/контейнерний аналог під єдиним протоколом. Якщо це технічно неможливо через несумісність задач або даних, треба формалізувати межу порівнюваності, порівняти покриття загроз, вхідні припущення, відтворюваність, ресурси та типи помилок, а не обмежуватися трьома класичними тестами.</w:t>
      </w:r>
    </w:p>
    <w:bookmarkEnd w:id="17"/>
    <w:bookmarkStart w:id="18" w:name="X6fd693f2cee03b3a068df4f756534d8e1b7c962"/>
    <w:p>
      <w:pPr>
        <w:pStyle w:val="Heading3"/>
      </w:pPr>
      <w:r>
        <w:t xml:space="preserve">3.7. Інтегральний показник</w:t>
      </w:r>
      <w:r>
        <w:t xml:space="preserve"> </w:t>
      </w:r>
      <w:r>
        <w:rPr>
          <w:rStyle w:val="VerbatimChar"/>
        </w:rPr>
        <w:t xml:space="preserve">K_E</w:t>
      </w:r>
      <w:r>
        <w:t xml:space="preserve"> </w:t>
      </w:r>
      <w:r>
        <w:t xml:space="preserve">має постфактум сформовану нормативну частину</w:t>
      </w:r>
    </w:p>
    <w:p>
      <w:pPr>
        <w:pStyle w:val="FirstParagraph"/>
      </w:pPr>
      <w:r>
        <w:t xml:space="preserve">Показник поєднує достовірність, час, пам’ять і форматну стійкість із вагами 0,50/0,20/0,10/0,20 (с. 126–128). У табл. 4.21 зазначено, що редакцію показника сформовано після первинного перегляду якості, а ресурсну частину оцінено на підмножині даних розроблення (с. 146). Ранг залежить від ваг, структурна конфігурація має найвищий бал, але не проходить форматного допуску, а зміна допустимих ваг змінює перший ранг на відеопідмножині (с. 140–141). Тому</w:t>
      </w:r>
      <w:r>
        <w:t xml:space="preserve"> </w:t>
      </w:r>
      <w:r>
        <w:rPr>
          <w:rStyle w:val="VerbatimChar"/>
        </w:rPr>
        <w:t xml:space="preserve">K_E</w:t>
      </w:r>
      <w:r>
        <w:t xml:space="preserve"> </w:t>
      </w:r>
      <w:r>
        <w:t xml:space="preserve">не може бути головним доказом ефективності технології.</w:t>
      </w:r>
    </w:p>
    <w:p>
      <w:pPr>
        <w:pStyle w:val="BodyText"/>
      </w:pPr>
      <w:r>
        <w:rPr>
          <w:b/>
          <w:bCs/>
        </w:rPr>
        <w:t xml:space="preserve">Необхідне доопрацювання:</w:t>
      </w:r>
      <w:r>
        <w:t xml:space="preserve"> </w:t>
      </w:r>
      <w:r>
        <w:t xml:space="preserve">залишити</w:t>
      </w:r>
      <w:r>
        <w:t xml:space="preserve"> </w:t>
      </w:r>
      <w:r>
        <w:rPr>
          <w:rStyle w:val="VerbatimChar"/>
        </w:rPr>
        <w:t xml:space="preserve">K_E</w:t>
      </w:r>
      <w:r>
        <w:t xml:space="preserve"> </w:t>
      </w:r>
      <w:r>
        <w:t xml:space="preserve">лише як розвідувальний інструмент багатокритеріального вибору; винести первинні метрики, форматний допуск і Парето-порівняння на перший план. Для нормативного застосування ваги та пороги мають бути задані до аналізу й підтверджені незалежною предметною експертизою або аналізом рішень.</w:t>
      </w:r>
    </w:p>
    <w:bookmarkEnd w:id="18"/>
    <w:bookmarkStart w:id="19" w:name="X7f5f8c6992d57525b4fdda0ed980165cf038042"/>
    <w:p>
      <w:pPr>
        <w:pStyle w:val="Heading3"/>
      </w:pPr>
      <w:r>
        <w:t xml:space="preserve">3.8. Ретроспективний прогін на 110 об’єктах має надто помітне місце</w:t>
      </w:r>
    </w:p>
    <w:p>
      <w:pPr>
        <w:pStyle w:val="FirstParagraph"/>
      </w:pPr>
      <w:r>
        <w:t xml:space="preserve">Для цього прогону немає первинних пооб’єктних оцінок, повного журналу, реєстру походження, контрольних сум і коду; параметри налаштовували та оцінювали на тому самому наборі (с. 4–5, 122–123, 141–145). Його можна арифметично перевірити, але не використати для оцінки узагальнення. Попри це результати займають значний обсяг анотації, вступу й висновків, що може створювати враження рівноправної експериментальної серії.</w:t>
      </w:r>
    </w:p>
    <w:p>
      <w:pPr>
        <w:pStyle w:val="BodyText"/>
      </w:pPr>
      <w:r>
        <w:rPr>
          <w:b/>
          <w:bCs/>
        </w:rPr>
        <w:t xml:space="preserve">Необхідне доопрацювання:</w:t>
      </w:r>
      <w:r>
        <w:t xml:space="preserve"> </w:t>
      </w:r>
      <w:r>
        <w:t xml:space="preserve">перенести деталі до окремого підрозділу або додатка з маркуванням «історичний/ретроспективний матеріал» і не використовувати його метрики в узагальнених твердженнях про результативність.</w:t>
      </w:r>
    </w:p>
    <w:bookmarkEnd w:id="19"/>
    <w:bookmarkStart w:id="20" w:name="X3cab5193492b40661b7ea09632005acde87f2cd"/>
    <w:p>
      <w:pPr>
        <w:pStyle w:val="Heading3"/>
      </w:pPr>
      <w:r>
        <w:t xml:space="preserve">3.9. Зв’язок положень новизни з публікаціями та особистим внеском не підтверджено документально</w:t>
      </w:r>
    </w:p>
    <w:p>
      <w:pPr>
        <w:pStyle w:val="FirstParagraph"/>
      </w:pPr>
      <w:r>
        <w:t xml:space="preserve">Додаток А прямо зазначає, що для моделі мультимодального представлення окремої публікації не встановлено; відповідність протоколів праць 3 і 9 дисертаційному експерименту потребує звірення; для всіх спільних праць потрібні авторські довідки про внесок (с. 174–175). Публікації 4–8 подано як тематичний контекст без прямої експериментальної перевірки чотирьох положень новизни. Це є істотним формальним ризиком перед захистом.</w:t>
      </w:r>
    </w:p>
    <w:p>
      <w:pPr>
        <w:pStyle w:val="BodyText"/>
      </w:pPr>
      <w:r>
        <w:rPr>
          <w:b/>
          <w:bCs/>
        </w:rPr>
        <w:t xml:space="preserve">Необхідне доопрацювання:</w:t>
      </w:r>
      <w:r>
        <w:t xml:space="preserve"> </w:t>
      </w:r>
      <w:r>
        <w:t xml:space="preserve">скласти документовану матрицю «положення новизни — конкретна публікація — сторінки/формули/експерименти — особистий внесок», перевірити тотожність протоколів і підготувати погоджені відомості про внесок співавторів. Для непокритої моделі потрібна публікаційна опора або офіційне роз’яснення відповідності чинним вимогам.</w:t>
      </w:r>
    </w:p>
    <w:bookmarkEnd w:id="20"/>
    <w:bookmarkStart w:id="21" w:name="X2910f8b86139686915184213af1be934617743f"/>
    <w:p>
      <w:pPr>
        <w:pStyle w:val="Heading3"/>
      </w:pPr>
      <w:r>
        <w:t xml:space="preserve">3.10. Потрібна чіткіша ієрархія первинних і вторинних статистичних результатів</w:t>
      </w:r>
    </w:p>
    <w:p>
      <w:pPr>
        <w:pStyle w:val="FirstParagraph"/>
      </w:pPr>
      <w:r>
        <w:t xml:space="preserve">Робота подає правильність, збалансовану правильність, точність, повноту,</w:t>
      </w:r>
      <w:r>
        <w:t xml:space="preserve"> </w:t>
      </w:r>
      <w:r>
        <w:rPr>
          <w:rStyle w:val="VerbatimChar"/>
        </w:rPr>
        <w:t xml:space="preserve">F1</w:t>
      </w:r>
      <w:r>
        <w:t xml:space="preserve">, AUC, форматні показники,</w:t>
      </w:r>
      <w:r>
        <w:t xml:space="preserve"> </w:t>
      </w:r>
      <w:r>
        <w:rPr>
          <w:rStyle w:val="VerbatimChar"/>
        </w:rPr>
        <w:t xml:space="preserve">K_E</w:t>
      </w:r>
      <w:r>
        <w:t xml:space="preserve">, кілька процедур повторного вибирання та допоміжні критерії. Для частини множинних форматних перевірок застосовано поправку Бонферроні, але загальний протокол не визначає наперед одного первинного результату, мінімально значущий ефект, допустиму похибку та підставу вибору обсягу незалежних груп. Унаслідок цього читачеві складно відрізнити підтверджувальні аналізи від розвідувальних.</w:t>
      </w:r>
    </w:p>
    <w:p>
      <w:pPr>
        <w:pStyle w:val="BodyText"/>
      </w:pPr>
      <w:r>
        <w:rPr>
          <w:b/>
          <w:bCs/>
        </w:rPr>
        <w:t xml:space="preserve">Необхідне доопрацювання:</w:t>
      </w:r>
      <w:r>
        <w:t xml:space="preserve"> </w:t>
      </w:r>
      <w:r>
        <w:t xml:space="preserve">для кожної серії вказати первинну кінцеву точку, одиницю незалежності, нульову гіпотезу або цільову точність, план аналізу, вторинні метрики й статус усіх аналізів, сформованих після перегляду даних. Для ключових ефектів подати інтервали на рівні груп і практичну, а не лише статистичну, значущість.</w:t>
      </w:r>
    </w:p>
    <w:bookmarkEnd w:id="21"/>
    <w:bookmarkEnd w:id="22"/>
    <w:bookmarkStart w:id="23" w:name="X53c93651c8a2e8e99b80fbc25bbaa048dc178c1"/>
    <w:p>
      <w:pPr>
        <w:pStyle w:val="Heading2"/>
      </w:pPr>
      <w:r>
        <w:t xml:space="preserve">4. Другорядні зауваження</w:t>
      </w:r>
    </w:p>
    <w:p>
      <w:pPr>
        <w:pStyle w:val="Compact"/>
        <w:numPr>
          <w:ilvl w:val="0"/>
          <w:numId w:val="1002"/>
        </w:numPr>
      </w:pPr>
      <w:r>
        <w:t xml:space="preserve">У назві та в окремих місцях слід або дати операційне визначення терміна «аномальний код», або послідовно використовувати точніші терміни «приховані дані», «структурна аномалія», «статистична зміна», «ознака можливого прихованого впливу».</w:t>
      </w:r>
    </w:p>
    <w:p>
      <w:pPr>
        <w:pStyle w:val="Compact"/>
        <w:numPr>
          <w:ilvl w:val="0"/>
          <w:numId w:val="1002"/>
        </w:numPr>
      </w:pPr>
      <w:r>
        <w:t xml:space="preserve">Розділ 1 можна скоротити, залишивши насамперед найближчі аналоги, їхні припущення, одиниці аналізу, набори даних і відмінність від авторського внеску.</w:t>
      </w:r>
    </w:p>
    <w:p>
      <w:pPr>
        <w:pStyle w:val="Compact"/>
        <w:numPr>
          <w:ilvl w:val="0"/>
          <w:numId w:val="1002"/>
        </w:numPr>
      </w:pPr>
      <w:r>
        <w:t xml:space="preserve">Формули загального рівня у розділі 2 слід чіткіше відокремити від реалізованих обчислень розділу 4; зараз однакова математична форма може сприйматися як специфікація виконуваного алгоритму.</w:t>
      </w:r>
    </w:p>
    <w:p>
      <w:pPr>
        <w:pStyle w:val="Compact"/>
        <w:numPr>
          <w:ilvl w:val="0"/>
          <w:numId w:val="1002"/>
        </w:numPr>
      </w:pPr>
      <w:r>
        <w:t xml:space="preserve">Для всіх порогів і ваг варто позначити їх походження: задані предметно, оцінені на навчальній частині, вибрані на налаштувальній частині чи сформовані постфактум.</w:t>
      </w:r>
    </w:p>
    <w:p>
      <w:pPr>
        <w:pStyle w:val="Compact"/>
        <w:numPr>
          <w:ilvl w:val="0"/>
          <w:numId w:val="1002"/>
        </w:numPr>
      </w:pPr>
      <w:r>
        <w:t xml:space="preserve">Нульове значення хибнопозитивних рішень для 40 контрольних об’єктів варто завжди супроводжувати інтервальною оцінкою, щоб уникнути тлумачення як доведеної нульової ймовірності помилки.</w:t>
      </w:r>
    </w:p>
    <w:p>
      <w:pPr>
        <w:pStyle w:val="Compact"/>
        <w:numPr>
          <w:ilvl w:val="0"/>
          <w:numId w:val="1002"/>
        </w:numPr>
      </w:pPr>
      <w:r>
        <w:t xml:space="preserve">Для ресурсних вимірювань потрібні точні версії операційної системи, компілятора/інтерпретатора, бібліотек, режимів енергоспоживання та декодерів, а також пояснення, чи включено введення-виведення й підготовку моделі.</w:t>
      </w:r>
    </w:p>
    <w:p>
      <w:pPr>
        <w:pStyle w:val="Compact"/>
        <w:numPr>
          <w:ilvl w:val="0"/>
          <w:numId w:val="1002"/>
        </w:numPr>
      </w:pPr>
      <w:r>
        <w:t xml:space="preserve">Доцільно додати окрему таблицю всіх наборів даних із числом первинних записів, груп, фрагментів, похідних, пристроїв, сцен, форматів, роллю у навчанні/налаштуванні/перевірці та умовами доступу.</w:t>
      </w:r>
    </w:p>
    <w:p>
      <w:pPr>
        <w:pStyle w:val="Compact"/>
        <w:numPr>
          <w:ilvl w:val="0"/>
          <w:numId w:val="1002"/>
        </w:numPr>
      </w:pPr>
      <w:r>
        <w:t xml:space="preserve">Для вебзастосування слід чітко сформулювати модель загроз: можливості противника, знання детектора, допустимі перетворення платформи, адаптивність атак і наслідки хибнопозитивних/хибнонегативних рішень.</w:t>
      </w:r>
    </w:p>
    <w:p>
      <w:pPr>
        <w:pStyle w:val="Compact"/>
        <w:numPr>
          <w:ilvl w:val="0"/>
          <w:numId w:val="1002"/>
        </w:numPr>
      </w:pPr>
      <w:r>
        <w:t xml:space="preserve">Практичне значення варто формулювати як проєкт і прототип контрольного контуру, оскільки промислове навантаження, мережеве передавання, черга та дії у відповідь не перевірені.</w:t>
      </w:r>
    </w:p>
    <w:p>
      <w:pPr>
        <w:pStyle w:val="Compact"/>
        <w:numPr>
          <w:ilvl w:val="0"/>
          <w:numId w:val="1002"/>
        </w:numPr>
      </w:pPr>
      <w:r>
        <w:t xml:space="preserve">У завершальному комплекті потрібні окремі твердження про доступність даних і коду, конфлікти інтересів, джерела фінансування та етичні/ліцензійні умови використання вихідних медіаданих.</w:t>
      </w:r>
    </w:p>
    <w:bookmarkEnd w:id="23"/>
    <w:bookmarkStart w:id="24" w:name="X8f145a313e44f3c0277e7e3b47c0ffee0b602a2"/>
    <w:p>
      <w:pPr>
        <w:pStyle w:val="Heading2"/>
      </w:pPr>
      <w:r>
        <w:t xml:space="preserve">5. Питання до здобувача</w:t>
      </w:r>
    </w:p>
    <w:p>
      <w:pPr>
        <w:pStyle w:val="Compact"/>
        <w:numPr>
          <w:ilvl w:val="0"/>
          <w:numId w:val="1003"/>
        </w:numPr>
      </w:pPr>
      <w:r>
        <w:t xml:space="preserve">Яка спостережувана ознака відрізняє «аномальний код» від довільної несемантичної структурної або статистичної зміни носія?</w:t>
      </w:r>
    </w:p>
    <w:p>
      <w:pPr>
        <w:pStyle w:val="Compact"/>
        <w:numPr>
          <w:ilvl w:val="0"/>
          <w:numId w:val="1003"/>
        </w:numPr>
      </w:pPr>
      <w:r>
        <w:t xml:space="preserve">Який із результатів дисертації автор вважає головним експериментально підтвердженим положенням новизни, якщо повний поведінковий метод не перевірено?</w:t>
      </w:r>
    </w:p>
    <w:p>
      <w:pPr>
        <w:pStyle w:val="Compact"/>
        <w:numPr>
          <w:ilvl w:val="0"/>
          <w:numId w:val="1003"/>
        </w:numPr>
      </w:pPr>
      <w:r>
        <w:t xml:space="preserve">Чи існує зафіксований архів із конфігураціями, моделями, пооб’єктними прогнозами та кодом, і як незалежний дослідник може отримати до нього доступ?</w:t>
      </w:r>
    </w:p>
    <w:p>
      <w:pPr>
        <w:pStyle w:val="Compact"/>
        <w:numPr>
          <w:ilvl w:val="0"/>
          <w:numId w:val="1003"/>
        </w:numPr>
      </w:pPr>
      <w:r>
        <w:t xml:space="preserve">Чому обрано саме ваги</w:t>
      </w:r>
      <w:r>
        <w:t xml:space="preserve"> </w:t>
      </w:r>
      <w:r>
        <w:rPr>
          <w:rStyle w:val="VerbatimChar"/>
        </w:rPr>
        <w:t xml:space="preserve">K_E</w:t>
      </w:r>
      <w:r>
        <w:t xml:space="preserve"> </w:t>
      </w:r>
      <w:r>
        <w:t xml:space="preserve">0,50/0,20/0,10/0,20 і поріг форматного допуску 0,60? Чи були вони визначені до перегляду результатів?</w:t>
      </w:r>
    </w:p>
    <w:p>
      <w:pPr>
        <w:pStyle w:val="Compact"/>
        <w:numPr>
          <w:ilvl w:val="0"/>
          <w:numId w:val="1003"/>
        </w:numPr>
      </w:pPr>
      <w:r>
        <w:t xml:space="preserve">Який результат очікується для коректного мультимедійного файла з нетиповою, але нешкідливою службовою областю, і як система уникатиме систематичних хибнопозитивних рішень для нових реалізацій формату?</w:t>
      </w:r>
    </w:p>
    <w:p>
      <w:pPr>
        <w:pStyle w:val="Compact"/>
        <w:numPr>
          <w:ilvl w:val="0"/>
          <w:numId w:val="1003"/>
        </w:numPr>
      </w:pPr>
      <w:r>
        <w:t xml:space="preserve">Як зміниться метод за наявності адаптивного противника, який знає структурні правила, пороги й ознаки та оптимізує носій проти них?</w:t>
      </w:r>
    </w:p>
    <w:p>
      <w:pPr>
        <w:pStyle w:val="Compact"/>
        <w:numPr>
          <w:ilvl w:val="0"/>
          <w:numId w:val="1003"/>
        </w:numPr>
      </w:pPr>
      <w:r>
        <w:t xml:space="preserve">Які конкретні операції у кожній із дев’яти спільних публікацій виконані особисто здобувачем і які фрагменти дисертаційного результату там оприлюднено?</w:t>
      </w:r>
    </w:p>
    <w:p>
      <w:pPr>
        <w:pStyle w:val="Compact"/>
        <w:numPr>
          <w:ilvl w:val="0"/>
          <w:numId w:val="1003"/>
        </w:numPr>
      </w:pPr>
      <w:r>
        <w:t xml:space="preserve">Який мінімальний новий експеримент автор вважає достатнім, щоб перевести поведінкове узгодження зі статусу формально запропонованого до експериментально перевіреного методу?</w:t>
      </w:r>
    </w:p>
    <w:bookmarkEnd w:id="24"/>
    <w:bookmarkStart w:id="25" w:name="X974eaa06f568475f97d8cf2e957bb55416b9988"/>
    <w:p>
      <w:pPr>
        <w:pStyle w:val="Heading2"/>
      </w:pPr>
      <w:r>
        <w:t xml:space="preserve">6. Підсумок</w:t>
      </w:r>
    </w:p>
    <w:p>
      <w:pPr>
        <w:pStyle w:val="FirstParagraph"/>
      </w:pPr>
      <w:r>
        <w:t xml:space="preserve">Дисертація має продуману інформаційну архітектуру, сильну культуру фіксації обмежень і корисні результати щодо структурного та спільного статичного аналізу. Найпереконливішим фактичним внеском є не доведене виявлення аномального програмного коду, а простежуваний мультирівневий процес аналізу носія та експериментальне встановлення меж переносимості його статичних конфігурацій. Саме таке позиціонування було б науково захищеним.</w:t>
      </w:r>
    </w:p>
    <w:p>
      <w:pPr>
        <w:pStyle w:val="BodyText"/>
      </w:pPr>
      <w:r>
        <w:t xml:space="preserve">До подання роботи на захист необхідно узгодити центральний термін із вимірюваним конструктом, забезпечити доступну числову відтворюваність, виправити статус поведінкового методу, посилити зовнішнє й порівняльне оцінювання та документально закрити питання публікацій і особистого внеску. Після цих змін робота матиме значно стійкішу доказову основу й буде краще підготовлена до критичних запитань спеціалізованої вченої ради.</w:t>
      </w:r>
    </w:p>
    <w:bookmarkEnd w:id="25"/>
    <w:bookmarkEnd w:id="26"/>
    <w:sectPr w:rsidR="006F3AFB" w:rsidRPr="004C1203" w:rsidSect="000569DC">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BDD"/>
    <w:rsid w:val="00020589"/>
    <w:rsid w:val="00026B37"/>
    <w:rsid w:val="000521C7"/>
    <w:rsid w:val="000569DC"/>
    <w:rsid w:val="0006612E"/>
    <w:rsid w:val="000A6FFA"/>
    <w:rsid w:val="000C313B"/>
    <w:rsid w:val="000D295F"/>
    <w:rsid w:val="000E6BA0"/>
    <w:rsid w:val="000F139B"/>
    <w:rsid w:val="0012159D"/>
    <w:rsid w:val="00140F3B"/>
    <w:rsid w:val="00142770"/>
    <w:rsid w:val="0014411D"/>
    <w:rsid w:val="00153D1A"/>
    <w:rsid w:val="001A7A23"/>
    <w:rsid w:val="001D6BDD"/>
    <w:rsid w:val="001E13F6"/>
    <w:rsid w:val="00267AB6"/>
    <w:rsid w:val="002D4959"/>
    <w:rsid w:val="002E71E5"/>
    <w:rsid w:val="002E76DC"/>
    <w:rsid w:val="002F0338"/>
    <w:rsid w:val="0033232E"/>
    <w:rsid w:val="00342874"/>
    <w:rsid w:val="003538B0"/>
    <w:rsid w:val="003A1082"/>
    <w:rsid w:val="003A6D6E"/>
    <w:rsid w:val="00450DF0"/>
    <w:rsid w:val="004605CD"/>
    <w:rsid w:val="00472D9C"/>
    <w:rsid w:val="00491C84"/>
    <w:rsid w:val="00497DAB"/>
    <w:rsid w:val="004C1203"/>
    <w:rsid w:val="004D0F4C"/>
    <w:rsid w:val="004E26B1"/>
    <w:rsid w:val="004E2D25"/>
    <w:rsid w:val="004F3137"/>
    <w:rsid w:val="00527657"/>
    <w:rsid w:val="00562A98"/>
    <w:rsid w:val="005900DF"/>
    <w:rsid w:val="00590790"/>
    <w:rsid w:val="005C16CE"/>
    <w:rsid w:val="005E1C17"/>
    <w:rsid w:val="006025E9"/>
    <w:rsid w:val="0061227C"/>
    <w:rsid w:val="00620C34"/>
    <w:rsid w:val="006226F2"/>
    <w:rsid w:val="00630FDA"/>
    <w:rsid w:val="00662C90"/>
    <w:rsid w:val="00664279"/>
    <w:rsid w:val="006853B4"/>
    <w:rsid w:val="00696417"/>
    <w:rsid w:val="006A2464"/>
    <w:rsid w:val="006A51F0"/>
    <w:rsid w:val="006A6608"/>
    <w:rsid w:val="006D30AC"/>
    <w:rsid w:val="006F3864"/>
    <w:rsid w:val="006F3AFB"/>
    <w:rsid w:val="00703607"/>
    <w:rsid w:val="007220D1"/>
    <w:rsid w:val="00762878"/>
    <w:rsid w:val="007A7062"/>
    <w:rsid w:val="007C4F9F"/>
    <w:rsid w:val="00805921"/>
    <w:rsid w:val="00830F5B"/>
    <w:rsid w:val="00841F7A"/>
    <w:rsid w:val="008539A8"/>
    <w:rsid w:val="008742DC"/>
    <w:rsid w:val="008867AD"/>
    <w:rsid w:val="008A38D7"/>
    <w:rsid w:val="008B3E18"/>
    <w:rsid w:val="008D1B87"/>
    <w:rsid w:val="008E0BE2"/>
    <w:rsid w:val="00905DA6"/>
    <w:rsid w:val="00916B40"/>
    <w:rsid w:val="00944DB9"/>
    <w:rsid w:val="009670AE"/>
    <w:rsid w:val="009E05A8"/>
    <w:rsid w:val="009F0B2F"/>
    <w:rsid w:val="00A16C52"/>
    <w:rsid w:val="00A67D7B"/>
    <w:rsid w:val="00A761F6"/>
    <w:rsid w:val="00AB45B0"/>
    <w:rsid w:val="00AE2D87"/>
    <w:rsid w:val="00B440AF"/>
    <w:rsid w:val="00B50055"/>
    <w:rsid w:val="00B523F3"/>
    <w:rsid w:val="00B621FA"/>
    <w:rsid w:val="00B72124"/>
    <w:rsid w:val="00B72D95"/>
    <w:rsid w:val="00B9041E"/>
    <w:rsid w:val="00C06DA0"/>
    <w:rsid w:val="00C3130E"/>
    <w:rsid w:val="00C6773A"/>
    <w:rsid w:val="00C73E97"/>
    <w:rsid w:val="00C772B3"/>
    <w:rsid w:val="00C94F2A"/>
    <w:rsid w:val="00CA427B"/>
    <w:rsid w:val="00CB76D3"/>
    <w:rsid w:val="00CC16E8"/>
    <w:rsid w:val="00D071C2"/>
    <w:rsid w:val="00D379CF"/>
    <w:rsid w:val="00D41A22"/>
    <w:rsid w:val="00DA5EE3"/>
    <w:rsid w:val="00DC53DD"/>
    <w:rsid w:val="00E12AE4"/>
    <w:rsid w:val="00E704DE"/>
    <w:rsid w:val="00E74A60"/>
    <w:rsid w:val="00EA7D15"/>
    <w:rsid w:val="00EC32D7"/>
    <w:rsid w:val="00EC77E1"/>
    <w:rsid w:val="00ED3A41"/>
    <w:rsid w:val="00EF6B6D"/>
    <w:rsid w:val="00F01020"/>
    <w:rsid w:val="00F23F4C"/>
    <w:rsid w:val="00F40828"/>
    <w:rsid w:val="00F41C50"/>
    <w:rsid w:val="00F46310"/>
    <w:rsid w:val="00F66750"/>
    <w:rsid w:val="00F876D7"/>
    <w:rsid w:val="00FA2C40"/>
    <w:rsid w:val="00FA69C0"/>
    <w:rsid w:val="00FF131E"/>
  </w:rsids>
  <w:themeFontLang w:val="uk-U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uk-UA"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2159D"/>
  </w:style>
  <w:style w:styleId="Heading1" w:type="paragraph">
    <w:name w:val="heading 1"/>
    <w:basedOn w:val="Normal"/>
    <w:next w:val="Normal"/>
    <w:uiPriority w:val="9"/>
    <w:qFormat/>
    <w:rsid w:val="006D30AC"/>
    <w:pPr>
      <w:keepNext/>
      <w:keepLines/>
      <w:spacing w:after="120" w:before="120"/>
      <w:outlineLvl w:val="0"/>
    </w:pPr>
    <w:rPr>
      <w:sz w:val="32"/>
      <w:szCs w:val="40"/>
    </w:rPr>
  </w:style>
  <w:style w:styleId="Heading2" w:type="paragraph">
    <w:name w:val="heading 2"/>
    <w:basedOn w:val="Normal"/>
    <w:next w:val="Normal"/>
    <w:uiPriority w:val="9"/>
    <w:unhideWhenUsed/>
    <w:qFormat/>
    <w:rsid w:val="006D30AC"/>
    <w:pPr>
      <w:keepNext/>
      <w:keepLines/>
      <w:spacing w:after="120" w:before="120"/>
      <w:outlineLvl w:val="1"/>
    </w:pPr>
    <w:rPr>
      <w:sz w:val="28"/>
      <w:szCs w:val="32"/>
    </w:rPr>
  </w:style>
  <w:style w:styleId="Heading3" w:type="paragraph">
    <w:name w:val="heading 3"/>
    <w:basedOn w:val="Normal"/>
    <w:next w:val="Normal"/>
    <w:uiPriority w:val="9"/>
    <w:semiHidden/>
    <w:unhideWhenUsed/>
    <w:qFormat/>
    <w:pPr>
      <w:keepNext/>
      <w:keepLines/>
      <w:spacing w:after="80" w:before="320"/>
      <w:outlineLvl w:val="2"/>
    </w:pPr>
    <w:rPr>
      <w:color w:val="434343"/>
      <w:sz w:val="28"/>
      <w:szCs w:val="28"/>
    </w:rPr>
  </w:style>
  <w:style w:styleId="Heading4" w:type="paragraph">
    <w:name w:val="heading 4"/>
    <w:basedOn w:val="Normal"/>
    <w:next w:val="Normal"/>
    <w:uiPriority w:val="9"/>
    <w:semiHidden/>
    <w:unhideWhenUsed/>
    <w:qFormat/>
    <w:pPr>
      <w:keepNext/>
      <w:keepLines/>
      <w:spacing w:after="80" w:before="280"/>
      <w:outlineLvl w:val="3"/>
    </w:pPr>
    <w:rPr>
      <w:color w:val="666666"/>
      <w:sz w:val="24"/>
      <w:szCs w:val="24"/>
    </w:rPr>
  </w:style>
  <w:style w:styleId="Heading5" w:type="paragraph">
    <w:name w:val="heading 5"/>
    <w:basedOn w:val="Normal"/>
    <w:next w:val="Normal"/>
    <w:uiPriority w:val="9"/>
    <w:semiHidden/>
    <w:unhideWhenUsed/>
    <w:qFormat/>
    <w:pPr>
      <w:keepNext/>
      <w:keepLines/>
      <w:spacing w:after="80" w:before="240"/>
      <w:outlineLvl w:val="4"/>
    </w:pPr>
    <w:rPr>
      <w:color w:val="666666"/>
    </w:rPr>
  </w:style>
  <w:style w:styleId="Heading6" w:type="paragraph">
    <w:name w:val="heading 6"/>
    <w:basedOn w:val="Normal"/>
    <w:next w:val="Normal"/>
    <w:uiPriority w:val="9"/>
    <w:semiHidden/>
    <w:unhideWhenUsed/>
    <w:qFormat/>
    <w:pPr>
      <w:keepNext/>
      <w:keepLines/>
      <w:spacing w:after="80" w:before="240"/>
      <w:outlineLvl w:val="5"/>
    </w:pPr>
    <w:rPr>
      <w:i/>
      <w:color w:val="66666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after="60"/>
    </w:pPr>
    <w:rPr>
      <w:sz w:val="52"/>
      <w:szCs w:val="52"/>
    </w:rPr>
  </w:style>
  <w:style w:styleId="Subtitle" w:type="paragraph">
    <w:name w:val="Subtitle"/>
    <w:basedOn w:val="Normal"/>
    <w:next w:val="Normal"/>
    <w:uiPriority w:val="11"/>
    <w:qFormat/>
    <w:pPr>
      <w:keepNext/>
      <w:keepLines/>
      <w:spacing w:after="320"/>
    </w:pPr>
    <w:rPr>
      <w:color w:val="666666"/>
      <w:sz w:val="30"/>
      <w:szCs w:val="30"/>
    </w:rPr>
  </w:style>
  <w:style w:styleId="LineNumber" w:type="character">
    <w:name w:val="line number"/>
    <w:basedOn w:val="DefaultParagraphFont"/>
    <w:uiPriority w:val="99"/>
    <w:semiHidden/>
    <w:unhideWhenUsed/>
    <w:rsid w:val="007220D1"/>
  </w:style>
  <w:style w:styleId="ListParagraph" w:type="paragraph">
    <w:name w:val="List Paragraph"/>
    <w:basedOn w:val="Normal"/>
    <w:uiPriority w:val="34"/>
    <w:qFormat/>
    <w:rsid w:val="008539A8"/>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2469</Words>
  <Characters>14076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2026-07-21T09:36:24Z</dcterms:created>
  <dcterms:modified xsi:type="dcterms:W3CDTF">2026-07-21T09:36:24Z</dcterms:modified>
</cp:coreProperties>
</file>

<file path=docProps/custom.xml><?xml version="1.0" encoding="utf-8"?>
<Properties xmlns="http://schemas.openxmlformats.org/officeDocument/2006/custom-properties" xmlns:vt="http://schemas.openxmlformats.org/officeDocument/2006/docPropsVTypes"/>
</file>