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зведення-чотирьох-незалежних-рецензій"/>
    <w:p>
      <w:pPr>
        <w:pStyle w:val="Heading1"/>
      </w:pPr>
      <w:r>
        <w:t xml:space="preserve">Зведення чотирьох незалежних рецензій</w:t>
      </w:r>
    </w:p>
    <w:p>
      <w:pPr>
        <w:pStyle w:val="FirstParagraph"/>
      </w:pPr>
      <w:r>
        <w:rPr>
          <w:b/>
          <w:bCs/>
        </w:rPr>
        <w:t xml:space="preserve">Дисертація:</w:t>
      </w:r>
      <w:r>
        <w:t xml:space="preserve"> </w:t>
      </w:r>
      <w:r>
        <w:t xml:space="preserve">Дмитро Денисюк, «Інформаційна технологія виявлення аномальних кодів у фото- та відеооб’єктах вебресурсів»</w:t>
      </w:r>
      <w:r>
        <w:br/>
      </w:r>
      <w:r>
        <w:rPr>
          <w:b/>
          <w:bCs/>
        </w:rPr>
        <w:t xml:space="preserve">Версія рецензування:</w:t>
      </w:r>
      <w:r>
        <w:t xml:space="preserve"> </w:t>
      </w:r>
      <w:r>
        <w:rPr>
          <w:rStyle w:val="VerbatimChar"/>
        </w:rPr>
        <w:t xml:space="preserve">dissertation_reviewed.pdf</w:t>
      </w:r>
      <w:r>
        <w:t xml:space="preserve">, 176 сторінок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21 липня 2026 р.</w:t>
      </w:r>
    </w:p>
    <w:bookmarkStart w:id="9" w:name="Xc156a1696e9ada0fe3c60dd388db8d76ea4e291"/>
    <w:p>
      <w:pPr>
        <w:pStyle w:val="Heading2"/>
      </w:pPr>
      <w:r>
        <w:t xml:space="preserve">1. Як забезпечено незалежність</w:t>
      </w:r>
    </w:p>
    <w:p>
      <w:pPr>
        <w:pStyle w:val="FirstParagraph"/>
      </w:pPr>
      <w:r>
        <w:t xml:space="preserve">Чотири рецензії підготовлено окремо, без читання висновків інших рецензентів до фіксації власного тексту: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Рецензія № 1 — методологія:</w:t>
      </w:r>
      <w:r>
        <w:t xml:space="preserve"> </w:t>
      </w:r>
      <w:r>
        <w:t xml:space="preserve">валідність конструкта, дані, статистика, незалежність спостережень, відтворюваність і ресурсні вимірювання.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Рецензія № 2 — новизна:</w:t>
      </w:r>
      <w:r>
        <w:t xml:space="preserve"> </w:t>
      </w:r>
      <w:r>
        <w:t xml:space="preserve">формальна коректність моделі й методів, аналоги, логіка «мета — завдання — новизна — публікації — висновки».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Рецензія № 3 — форма:</w:t>
      </w:r>
      <w:r>
        <w:t xml:space="preserve"> </w:t>
      </w:r>
      <w:r>
        <w:t xml:space="preserve">структура, мова, анотації, формули, таблиці, рисунки, бібліографія, формальні вимоги та посторінковий візуальний контроль.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Рецензія № 4 — інтегральна:</w:t>
      </w:r>
      <w:r>
        <w:t xml:space="preserve"> </w:t>
      </w:r>
      <w:r>
        <w:t xml:space="preserve">оцінка з позиції офіційного опонента та готовності до подання.</w:t>
      </w:r>
    </w:p>
    <w:p>
      <w:pPr>
        <w:pStyle w:val="FirstParagraph"/>
      </w:pPr>
      <w:r>
        <w:t xml:space="preserve">Усі чотири рецензенти незалежно дали однакову загальну рекомендацію:</w:t>
      </w:r>
      <w:r>
        <w:t xml:space="preserve"> </w:t>
      </w:r>
      <w:r>
        <w:rPr>
          <w:b/>
          <w:bCs/>
        </w:rPr>
        <w:t xml:space="preserve">суттєве доопрацювання і повторний розгляд; у поточній редакції не подавати до захисту</w:t>
      </w:r>
      <w:r>
        <w:t xml:space="preserve">. Водночас жодна рецензія не заперечує актуальності теми або наявності корисного науково-інженерного внеску.</w:t>
      </w:r>
    </w:p>
    <w:bookmarkEnd w:id="9"/>
    <w:bookmarkStart w:id="13" w:name="X04c3e3b4f2e3de57b04d12e207fdd85a652bde6"/>
    <w:p>
      <w:pPr>
        <w:pStyle w:val="Heading2"/>
      </w:pPr>
      <w:r>
        <w:t xml:space="preserve">2. Узгоджені висновки</w:t>
      </w:r>
    </w:p>
    <w:bookmarkStart w:id="10" w:name="критичні-зауваження--підтримка-44"/>
    <w:p>
      <w:pPr>
        <w:pStyle w:val="Heading3"/>
      </w:pPr>
      <w:r>
        <w:t xml:space="preserve">Критичні зауваження — підтримка 4/4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Невідповідність центрального конструкта.</w:t>
      </w:r>
      <w:r>
        <w:t xml:space="preserve"> </w:t>
      </w:r>
      <w:r>
        <w:t xml:space="preserve">Назва і твердження про «аномальні коди» ширші за експериментальну мітку контрольованої структурної/статистичної зміни. Потрібно звузити назву, мету, об’єкт, предмет, новизну й висновки або додати семантично валідні сценарії коду, активації та причинного наслідку.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Неперевірений поведінковий метод.</w:t>
      </w:r>
      <w:r>
        <w:t xml:space="preserve"> </w:t>
      </w:r>
      <w:r>
        <w:t xml:space="preserve">Немає причинних журналів</w:t>
      </w:r>
      <w:r>
        <w:t xml:space="preserve"> </w:t>
      </w:r>
      <w:r>
        <w:rPr>
          <w:rStyle w:val="VerbatimChar"/>
        </w:rPr>
        <w:t xml:space="preserve">X_b</w:t>
      </w:r>
      <w:r>
        <w:t xml:space="preserve">, повного</w:t>
      </w:r>
      <w:r>
        <w:t xml:space="preserve"> </w:t>
      </w:r>
      <w:r>
        <w:rPr>
          <w:rStyle w:val="VerbatimChar"/>
        </w:rPr>
        <w:t xml:space="preserve">Z_b</w:t>
      </w:r>
      <w:r>
        <w:t xml:space="preserve">, навчання кодувальника й перевірки перехресного зіставлення. Потрібно знизити статус до формалізованого підходу або провести окремий проспективний експеримент із парними журналами й новими групами.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Неповна відтворюваність.</w:t>
      </w:r>
      <w:r>
        <w:t xml:space="preserve"> </w:t>
      </w:r>
      <w:r>
        <w:t xml:space="preserve">У рукописі відсутні параметри</w:t>
      </w:r>
      <w:r>
        <w:t xml:space="preserve"> </w:t>
      </w:r>
      <w:r>
        <w:rPr>
          <w:rStyle w:val="VerbatimChar"/>
        </w:rPr>
        <w:t xml:space="preserve">Θ_H</w:t>
      </w:r>
      <w:r>
        <w:t xml:space="preserve">, пороги, частина правил, ваг, коефіцієнтів і повний опис навчання. Потрібен незмінний машинозчитуваний пакет із кодом, конфігураціями, моделями, середовищем, маніфестами, хешами й сценарієм повтору.</w:t>
      </w:r>
    </w:p>
    <w:bookmarkEnd w:id="10"/>
    <w:bookmarkStart w:id="11" w:name="Xce80f3b4bb21507e2fcf83d40972d219593d99a"/>
    <w:p>
      <w:pPr>
        <w:pStyle w:val="Heading3"/>
      </w:pPr>
      <w:r>
        <w:t xml:space="preserve">Зауваження високого пріоритету — підтримка 3/4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Обмежена зовнішня валідність.</w:t>
      </w:r>
      <w:r>
        <w:t xml:space="preserve"> </w:t>
      </w:r>
      <w:r>
        <w:t xml:space="preserve">Тисячі похідних походять від малої кількості пристроїв і записів. Пристрій або запис має бути верхньою одиницею аналізу; кількість незалежних джерел потрібно розширити, а статистику зробити ієрархічною або кластерною.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Недостатні базові методи.</w:t>
      </w:r>
      <w:r>
        <w:t xml:space="preserve"> </w:t>
      </w:r>
      <w:r>
        <w:t xml:space="preserve">Потрібні сучасний зоровий стегоаналізатор, структурний/контейнерний аналог і прості правила інтеграції під тим самим груповим протоколом.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Розвідувальний статус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K_E</w:t>
      </w:r>
      <w:r>
        <w:rPr>
          <w:b/>
          <w:bCs/>
        </w:rPr>
        <w:t xml:space="preserve">.</w:t>
      </w:r>
      <w:r>
        <w:t xml:space="preserve"> </w:t>
      </w:r>
      <w:r>
        <w:t xml:space="preserve">Показник сформовано постфактум, його ваги й поріг недостатньо обґрунтовані. Головними мають бути первинні метрики, форматний допуск і Парето-порівняння.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Незамкнена публікаційна простежуваність.</w:t>
      </w:r>
      <w:r>
        <w:t xml:space="preserve"> </w:t>
      </w:r>
      <w:r>
        <w:t xml:space="preserve">Положення новизни не пов’язані документально з публікаціями й конкретним особистим внеском; для моделі окремої публікації не встановлено. Потрібна погоджена матриця «новизна — публікація — сторінки/формули — експеримент — особистий внесок».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Неповний статистичний план.</w:t>
      </w:r>
      <w:r>
        <w:t xml:space="preserve"> </w:t>
      </w:r>
      <w:r>
        <w:t xml:space="preserve">Потрібно задати первинну кінцеву точку, мінімально важливий ефект, обсяг незалежних груп, планову точність, множинність і кластерний рівень до нового експерименту.</w:t>
      </w:r>
    </w:p>
    <w:bookmarkEnd w:id="11"/>
    <w:bookmarkStart w:id="12" w:name="X2d9cb5f9e601406cec1bb185d0d1f7227160934"/>
    <w:p>
      <w:pPr>
        <w:pStyle w:val="Heading3"/>
      </w:pPr>
      <w:r>
        <w:t xml:space="preserve">Зауваження середнього пріоритету — підтримка 2/4</w:t>
      </w:r>
    </w:p>
    <w:p>
      <w:pPr>
        <w:pStyle w:val="FirstParagraph"/>
      </w:pPr>
      <w:r>
        <w:rPr>
          <w:b/>
          <w:bCs/>
        </w:rPr>
        <w:t xml:space="preserve">Ретроспективний прогін на 110 об’єктах</w:t>
      </w:r>
      <w:r>
        <w:t xml:space="preserve"> </w:t>
      </w:r>
      <w:r>
        <w:t xml:space="preserve">невідтворюваний і не має незалежного поділу, але займає надто помітне місце. Його слід перенести до додатка або історичного підрозділу й не використовувати як доказ узагальнюваності.</w:t>
      </w:r>
    </w:p>
    <w:bookmarkEnd w:id="12"/>
    <w:bookmarkEnd w:id="13"/>
    <w:bookmarkStart w:id="18" w:name="Xd1a3f8205536709b15898b206cb546b85b8e1de"/>
    <w:p>
      <w:pPr>
        <w:pStyle w:val="Heading2"/>
      </w:pPr>
      <w:r>
        <w:t xml:space="preserve">3. Найважливіші унікальні знахідки</w:t>
      </w:r>
    </w:p>
    <w:bookmarkStart w:id="14" w:name="X6ea084f35ebfc26be7b3ac22cf0195e29887801"/>
    <w:p>
      <w:pPr>
        <w:pStyle w:val="Heading3"/>
      </w:pPr>
      <w:r>
        <w:t xml:space="preserve">Рецензія № 1 — методологічні ризики, які легко пропустити</w:t>
      </w:r>
    </w:p>
    <w:p>
      <w:pPr>
        <w:pStyle w:val="Compact"/>
        <w:numPr>
          <w:ilvl w:val="0"/>
          <w:numId w:val="1004"/>
        </w:numPr>
      </w:pPr>
      <w:r>
        <w:t xml:space="preserve">Не перевірено, чи малоамплітудна спектральна зміна пережила втратне кодування JPEG/MP4/WebM. Якщо вона зникла, позитивна мітка окремих файлів є хибною незалежно від якості детектора.</w:t>
      </w:r>
    </w:p>
    <w:p>
      <w:pPr>
        <w:pStyle w:val="Compact"/>
        <w:numPr>
          <w:ilvl w:val="0"/>
          <w:numId w:val="1004"/>
        </w:numPr>
      </w:pPr>
      <w:r>
        <w:t xml:space="preserve">Коректний MP4-блок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padding і метадані можуть бути легальними. Без складних негативних контролів структурна задача частково зводиться до прямого читання ознаки, якою сформовано мітку.</w:t>
      </w:r>
    </w:p>
    <w:p>
      <w:pPr>
        <w:pStyle w:val="Compact"/>
        <w:numPr>
          <w:ilvl w:val="0"/>
          <w:numId w:val="1004"/>
        </w:numPr>
      </w:pPr>
      <w:r>
        <w:t xml:space="preserve">«П’ять форматів» отримано з тих самих відеофрагментів; це парна перевірка перекодування, а не зовнішня валідація на природних фото й незалежних форматних екосистемах.</w:t>
      </w:r>
    </w:p>
    <w:p>
      <w:pPr>
        <w:pStyle w:val="Compact"/>
        <w:numPr>
          <w:ilvl w:val="0"/>
          <w:numId w:val="1004"/>
        </w:numPr>
      </w:pPr>
      <w:r>
        <w:t xml:space="preserve">Для навчуваного шлюзу недостатньо описано гіперпараметри, а форматні one-hot ознаки можуть реалізувати лише консервативну форматно-залежну політику.</w:t>
      </w:r>
    </w:p>
    <w:bookmarkEnd w:id="14"/>
    <w:bookmarkStart w:id="15" w:name="рецензія--2--формальні-проблеми-моделі"/>
    <w:p>
      <w:pPr>
        <w:pStyle w:val="Heading3"/>
      </w:pPr>
      <w:r>
        <w:t xml:space="preserve">Рецензія № 2 — формальні проблеми моделі</w:t>
      </w:r>
    </w:p>
    <w:p>
      <w:pPr>
        <w:pStyle w:val="Compact"/>
        <w:numPr>
          <w:ilvl w:val="0"/>
          <w:numId w:val="1005"/>
        </w:numPr>
      </w:pPr>
      <w:r>
        <w:t xml:space="preserve">У формулі інтегрального ризику</w:t>
      </w:r>
      <w:r>
        <w:t xml:space="preserve"> </w:t>
      </w:r>
      <w:r>
        <w:rPr>
          <w:rStyle w:val="VerbatimChar"/>
        </w:rPr>
        <w:t xml:space="preserve">ρ_b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Q_A</w:t>
      </w:r>
      <w:r>
        <w:t xml:space="preserve"> </w:t>
      </w:r>
      <w:r>
        <w:t xml:space="preserve">можуть двічі враховувати ті самі поведінкові свідчення; зв’язок класового вектора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з ризиком</w:t>
      </w:r>
      <w:r>
        <w:t xml:space="preserve"> </w:t>
      </w:r>
      <w:r>
        <w:rPr>
          <w:rStyle w:val="VerbatimChar"/>
        </w:rPr>
        <w:t xml:space="preserve">ρ_A</w:t>
      </w:r>
      <w:r>
        <w:t xml:space="preserve"> </w:t>
      </w:r>
      <w:r>
        <w:t xml:space="preserve">не визначено.</w:t>
      </w:r>
    </w:p>
    <w:p>
      <w:pPr>
        <w:pStyle w:val="Compact"/>
        <w:numPr>
          <w:ilvl w:val="0"/>
          <w:numId w:val="1005"/>
        </w:numPr>
      </w:pPr>
      <w:r>
        <w:t xml:space="preserve">Відеоагрегація частково циклічна: покадрова оцінка входить у вагу, якою повторно агрегується та сама оцінка. Це може систематично зміщувати результат угору.</w:t>
      </w:r>
    </w:p>
    <w:p>
      <w:pPr>
        <w:pStyle w:val="Compact"/>
        <w:numPr>
          <w:ilvl w:val="0"/>
          <w:numId w:val="1005"/>
        </w:numPr>
      </w:pPr>
      <w:r>
        <w:t xml:space="preserve">Модель розділу 2 ближча до типізованого контракту даних і походження, ніж до повністю операційної прогностичної моделі. Її статус потрібно назвати точно.</w:t>
      </w:r>
    </w:p>
    <w:p>
      <w:pPr>
        <w:pStyle w:val="Compact"/>
        <w:numPr>
          <w:ilvl w:val="0"/>
          <w:numId w:val="1005"/>
        </w:numPr>
      </w:pPr>
      <w:r>
        <w:t xml:space="preserve">Відмежування новизни виконано від широких класів методів, а не від конкретних найближчих аналогів за однаковою системою критеріїв.</w:t>
      </w:r>
    </w:p>
    <w:bookmarkEnd w:id="15"/>
    <w:bookmarkStart w:id="16" w:name="Xd3787299f46e868e7241d8980b679419c33bf4a"/>
    <w:p>
      <w:pPr>
        <w:pStyle w:val="Heading3"/>
      </w:pPr>
      <w:r>
        <w:t xml:space="preserve">Рецензія № 3 — формальні блокери фінальної редакції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dissertation_reviewed.pdf</w:t>
      </w:r>
      <w:r>
        <w:t xml:space="preserve"> </w:t>
      </w:r>
      <w:r>
        <w:t xml:space="preserve">має 176 сторінок, а поточні LaTeX-джерела формують 177; канонічна версія не зафіксована.</w:t>
      </w:r>
    </w:p>
    <w:p>
      <w:pPr>
        <w:pStyle w:val="Compact"/>
        <w:numPr>
          <w:ilvl w:val="0"/>
          <w:numId w:val="1006"/>
        </w:numPr>
      </w:pPr>
      <w:r>
        <w:t xml:space="preserve">На с. 29–30 заявлено 170 сторінок і 30 таблиць, тоді як рецензований PDF має 176 сторінок і 35 таблиць; інтервал розділ 1 — загальні висновки фізично містить 126, а не 122 сторінки без додаткової методики виключення.</w:t>
      </w:r>
    </w:p>
    <w:p>
      <w:pPr>
        <w:pStyle w:val="Compact"/>
        <w:numPr>
          <w:ilvl w:val="0"/>
          <w:numId w:val="1006"/>
        </w:numPr>
      </w:pPr>
      <w:r>
        <w:t xml:space="preserve">Є єдина вступна «Таблиця 0.2», хоча «0.1» не існує.</w:t>
      </w:r>
    </w:p>
    <w:p>
      <w:pPr>
        <w:pStyle w:val="Compact"/>
        <w:numPr>
          <w:ilvl w:val="0"/>
          <w:numId w:val="1006"/>
        </w:numPr>
      </w:pPr>
      <w:r>
        <w:t xml:space="preserve">Додаток не містить конкретного особистого внеску здобувача, а таблиця апробації фіксує вид публікації, а не підтверджену форму участі.</w:t>
      </w:r>
    </w:p>
    <w:p>
      <w:pPr>
        <w:pStyle w:val="Compact"/>
        <w:numPr>
          <w:ilvl w:val="0"/>
          <w:numId w:val="1006"/>
        </w:numPr>
      </w:pPr>
      <w:r>
        <w:t xml:space="preserve">Українська й англійська анотації перевантажені та перебувають біля верхньої нормативної межі; перелік позначень не охоплює основних математичних символів.</w:t>
      </w:r>
    </w:p>
    <w:bookmarkEnd w:id="16"/>
    <w:bookmarkStart w:id="17" w:name="Xa0b1a3b138d63d52e09d9e879e3d1a1f39dff3c"/>
    <w:p>
      <w:pPr>
        <w:pStyle w:val="Heading3"/>
      </w:pPr>
      <w:r>
        <w:t xml:space="preserve">Рецензія № 4 — ризики захисту й позиціонування</w:t>
      </w:r>
    </w:p>
    <w:p>
      <w:pPr>
        <w:pStyle w:val="Compact"/>
        <w:numPr>
          <w:ilvl w:val="0"/>
          <w:numId w:val="1007"/>
        </w:numPr>
      </w:pPr>
      <w:r>
        <w:t xml:space="preserve">Найсильнішим доведеним внеском є простежуваний процес і статична структурна діагностика, а не виявлення виконуваного аномального коду.</w:t>
      </w:r>
    </w:p>
    <w:p>
      <w:pPr>
        <w:pStyle w:val="Compact"/>
        <w:numPr>
          <w:ilvl w:val="0"/>
          <w:numId w:val="1007"/>
        </w:numPr>
      </w:pPr>
      <w:r>
        <w:t xml:space="preserve">Заява про збережені код і реєстри не замінює доступності: потрібен DOI/URL/архів, ліцензія, маніфест і процедура повтору.</w:t>
      </w:r>
    </w:p>
    <w:p>
      <w:pPr>
        <w:pStyle w:val="Compact"/>
        <w:numPr>
          <w:ilvl w:val="0"/>
          <w:numId w:val="1007"/>
        </w:numPr>
      </w:pPr>
      <w:r>
        <w:t xml:space="preserve">Ретроспективний прогін слід відокремити від відтворюваних серій, щоб його метрики не сприймалися як рівноправний доказ.</w:t>
      </w:r>
    </w:p>
    <w:p>
      <w:pPr>
        <w:pStyle w:val="Compact"/>
        <w:numPr>
          <w:ilvl w:val="0"/>
          <w:numId w:val="1007"/>
        </w:numPr>
      </w:pPr>
      <w:r>
        <w:t xml:space="preserve">Для подання до ради спершу потрібно закрити формальні ризики публікацій, особистого внеску, канонічної версії та відтворюваного пакета, а вже потім розширювати текст.</w:t>
      </w:r>
    </w:p>
    <w:bookmarkEnd w:id="17"/>
    <w:bookmarkEnd w:id="18"/>
    <w:bookmarkStart w:id="25" w:name="X55e72376867600787f910e19c3fc1297310c2ba"/>
    <w:p>
      <w:pPr>
        <w:pStyle w:val="Heading2"/>
      </w:pPr>
      <w:r>
        <w:t xml:space="preserve">4. Консолідований план виправлень</w:t>
      </w:r>
    </w:p>
    <w:bookmarkStart w:id="19" w:name="етап-1-заблокувати-канонічну-версію"/>
    <w:p>
      <w:pPr>
        <w:pStyle w:val="Heading3"/>
      </w:pPr>
      <w:r>
        <w:t xml:space="preserve">Етап 1. Заблокувати канонічну версію</w:t>
      </w:r>
    </w:p>
    <w:p>
      <w:pPr>
        <w:pStyle w:val="Compact"/>
        <w:numPr>
          <w:ilvl w:val="0"/>
          <w:numId w:val="1008"/>
        </w:numPr>
      </w:pPr>
      <w:r>
        <w:t xml:space="preserve">Вибрати одну редакцію джерел і зібрати з неї фінальний PDF.</w:t>
      </w:r>
    </w:p>
    <w:p>
      <w:pPr>
        <w:pStyle w:val="Compact"/>
        <w:numPr>
          <w:ilvl w:val="0"/>
          <w:numId w:val="1008"/>
        </w:numPr>
      </w:pPr>
      <w:r>
        <w:t xml:space="preserve">Зафіксувати версію Tectonic/пакетів/шрифтів і SHA-256 PDF.</w:t>
      </w:r>
    </w:p>
    <w:p>
      <w:pPr>
        <w:pStyle w:val="Compact"/>
        <w:numPr>
          <w:ilvl w:val="0"/>
          <w:numId w:val="1008"/>
        </w:numPr>
      </w:pPr>
      <w:r>
        <w:t xml:space="preserve">Автоматично перерахувати сторінки, рисунки, таблиці, формули й джерела.</w:t>
      </w:r>
    </w:p>
    <w:p>
      <w:pPr>
        <w:pStyle w:val="Compact"/>
        <w:numPr>
          <w:ilvl w:val="0"/>
          <w:numId w:val="1008"/>
        </w:numPr>
      </w:pPr>
      <w:r>
        <w:t xml:space="preserve">Виправити «Таблицю 0.2», зміст і всі сторінкові посилання.</w:t>
      </w:r>
    </w:p>
    <w:bookmarkEnd w:id="19"/>
    <w:bookmarkStart w:id="20" w:name="X6a493bf63847ee993c704acef0d1d001006ddbd"/>
    <w:p>
      <w:pPr>
        <w:pStyle w:val="Heading3"/>
      </w:pPr>
      <w:r>
        <w:t xml:space="preserve">Етап 2. Прийняти принципове рішення про предмет роботи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Варіант А — звуження:</w:t>
      </w:r>
      <w:r>
        <w:t xml:space="preserve"> </w:t>
      </w:r>
      <w:r>
        <w:t xml:space="preserve">позиціонувати роботу як технологію виявлення структурних і спектрально-статистичних аномалій та підтримки рішення щодо можливого прихованого впливу.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Варіант Б — посилення доказів:</w:t>
      </w:r>
      <w:r>
        <w:t xml:space="preserve"> </w:t>
      </w:r>
      <w:r>
        <w:t xml:space="preserve">додати безпечні контрольовані сценарії прихованого коду/команди, активації компонентом і причинного наслідку.</w:t>
      </w:r>
    </w:p>
    <w:p>
      <w:pPr>
        <w:pStyle w:val="Compact"/>
        <w:numPr>
          <w:ilvl w:val="0"/>
          <w:numId w:val="1009"/>
        </w:numPr>
      </w:pPr>
      <w:r>
        <w:t xml:space="preserve">В обох варіантах синхронно оновити назву, мету, об’єкт, предмет, завдання, новизну, анотації та висновки.</w:t>
      </w:r>
    </w:p>
    <w:bookmarkEnd w:id="20"/>
    <w:bookmarkStart w:id="21" w:name="X0020eee6319b7af0bd37ffbfd5cb5eb7ed64d90"/>
    <w:p>
      <w:pPr>
        <w:pStyle w:val="Heading3"/>
      </w:pPr>
      <w:r>
        <w:t xml:space="preserve">Етап 3. Розмежувати фактично одержані результати</w:t>
      </w:r>
    </w:p>
    <w:p>
      <w:pPr>
        <w:pStyle w:val="Compact"/>
        <w:numPr>
          <w:ilvl w:val="0"/>
          <w:numId w:val="1010"/>
        </w:numPr>
      </w:pPr>
      <w:r>
        <w:t xml:space="preserve">Статичний метод — описати точну реалізовану конфігурацію і зіставити її з формальною схемою.</w:t>
      </w:r>
    </w:p>
    <w:p>
      <w:pPr>
        <w:pStyle w:val="Compact"/>
        <w:numPr>
          <w:ilvl w:val="0"/>
          <w:numId w:val="1010"/>
        </w:numPr>
      </w:pPr>
      <w:r>
        <w:t xml:space="preserve">Поведінкове узгодження — або перевірити на причинних журналах, або назвати формалізованою процедурою/напрямом.</w:t>
      </w:r>
    </w:p>
    <w:p>
      <w:pPr>
        <w:pStyle w:val="Compact"/>
        <w:numPr>
          <w:ilvl w:val="0"/>
          <w:numId w:val="1010"/>
        </w:numPr>
      </w:pPr>
      <w:r>
        <w:t xml:space="preserve">П’ятиетапну технологію — до наскрізного стенду називати архітектурою або прототипним контуром.</w:t>
      </w:r>
    </w:p>
    <w:p>
      <w:pPr>
        <w:pStyle w:val="Compact"/>
        <w:numPr>
          <w:ilvl w:val="0"/>
          <w:numId w:val="1010"/>
        </w:numPr>
      </w:pPr>
      <w:r>
        <w:t xml:space="preserve">Ретроспективний прогін — маркувати як аудит агрегатів.</w:t>
      </w:r>
    </w:p>
    <w:bookmarkEnd w:id="21"/>
    <w:bookmarkStart w:id="22" w:name="етап-4-зібрати-відтворюваний-пакет"/>
    <w:p>
      <w:pPr>
        <w:pStyle w:val="Heading3"/>
      </w:pPr>
      <w:r>
        <w:t xml:space="preserve">Етап 4. Зібрати відтворюваний пакет</w:t>
      </w:r>
    </w:p>
    <w:p>
      <w:pPr>
        <w:pStyle w:val="FirstParagraph"/>
      </w:pPr>
      <w:r>
        <w:t xml:space="preserve">Пакет має містити код, exact environment/lockfile, параметри</w:t>
      </w:r>
      <w:r>
        <w:t xml:space="preserve"> </w:t>
      </w:r>
      <w:r>
        <w:rPr>
          <w:rStyle w:val="VerbatimChar"/>
        </w:rPr>
        <w:t xml:space="preserve">Θ_H</w:t>
      </w:r>
      <w:r>
        <w:t xml:space="preserve">, усі пороги й коефіцієнти, параметри шлюзу, правила, seed, маніфести походження, пооб’єктні оцінки, контрольні суми, інструкцію запуску й очікувані результати. У дисертації потрібен окремий розділ «Доступність даних і програмного забезпечення» зі сталим ідентифікатором.</w:t>
      </w:r>
    </w:p>
    <w:bookmarkEnd w:id="22"/>
    <w:bookmarkStart w:id="23" w:name="X9b7a90c8b5292c5c9753cd725028e1d90aea227"/>
    <w:p>
      <w:pPr>
        <w:pStyle w:val="Heading3"/>
      </w:pPr>
      <w:r>
        <w:t xml:space="preserve">Етап 5. Провести контрольний підтверджувальний експеримент</w:t>
      </w:r>
    </w:p>
    <w:p>
      <w:pPr>
        <w:pStyle w:val="Compact"/>
        <w:numPr>
          <w:ilvl w:val="0"/>
          <w:numId w:val="1011"/>
        </w:numPr>
      </w:pPr>
      <w:r>
        <w:t xml:space="preserve">Наперед зафіксувати первинну метрику, мінімально важливий ефект, потрібну кількість незалежних пристроїв/записів і статистичний план.</w:t>
      </w:r>
    </w:p>
    <w:p>
      <w:pPr>
        <w:pStyle w:val="Compact"/>
        <w:numPr>
          <w:ilvl w:val="0"/>
          <w:numId w:val="1011"/>
        </w:numPr>
      </w:pPr>
      <w:r>
        <w:t xml:space="preserve">Перевірити збереження спектральної мітки після остаточного кодування.</w:t>
      </w:r>
    </w:p>
    <w:p>
      <w:pPr>
        <w:pStyle w:val="Compact"/>
        <w:numPr>
          <w:ilvl w:val="0"/>
          <w:numId w:val="1011"/>
        </w:numPr>
      </w:pPr>
      <w:r>
        <w:t xml:space="preserve">Додати легальні складні структурні негативні контроли.</w:t>
      </w:r>
    </w:p>
    <w:p>
      <w:pPr>
        <w:pStyle w:val="Compact"/>
        <w:numPr>
          <w:ilvl w:val="0"/>
          <w:numId w:val="1011"/>
        </w:numPr>
      </w:pPr>
      <w:r>
        <w:t xml:space="preserve">Залучити природні фото та відео з нових пристроїв, кодеків, профілів і вебплатформ.</w:t>
      </w:r>
    </w:p>
    <w:p>
      <w:pPr>
        <w:pStyle w:val="Compact"/>
        <w:numPr>
          <w:ilvl w:val="0"/>
          <w:numId w:val="1011"/>
        </w:numPr>
      </w:pPr>
      <w:r>
        <w:t xml:space="preserve">Додати сучасні базові методи та прості правила інтеграції.</w:t>
      </w:r>
    </w:p>
    <w:p>
      <w:pPr>
        <w:pStyle w:val="Compact"/>
        <w:numPr>
          <w:ilvl w:val="0"/>
          <w:numId w:val="1011"/>
        </w:numPr>
      </w:pPr>
      <w:r>
        <w:t xml:space="preserve">Обчислювати основну невизначеність на рівні пристрою/запису; нижчі рівні враховувати ієрархічно.</w:t>
      </w:r>
    </w:p>
    <w:bookmarkEnd w:id="23"/>
    <w:bookmarkStart w:id="24" w:name="етап-6-закрити-формальні-вимоги-захисту"/>
    <w:p>
      <w:pPr>
        <w:pStyle w:val="Heading3"/>
      </w:pPr>
      <w:r>
        <w:t xml:space="preserve">Етап 6. Закрити формальні вимоги захисту</w:t>
      </w:r>
    </w:p>
    <w:p>
      <w:pPr>
        <w:pStyle w:val="Compact"/>
        <w:numPr>
          <w:ilvl w:val="0"/>
          <w:numId w:val="1012"/>
        </w:numPr>
      </w:pPr>
      <w:r>
        <w:t xml:space="preserve">Документувати особистий внесок у кожну спільну публікацію.</w:t>
      </w:r>
    </w:p>
    <w:p>
      <w:pPr>
        <w:pStyle w:val="Compact"/>
        <w:numPr>
          <w:ilvl w:val="0"/>
          <w:numId w:val="1012"/>
        </w:numPr>
      </w:pPr>
      <w:r>
        <w:t xml:space="preserve">Встановити публікаційне покриття кожного положення новизни.</w:t>
      </w:r>
    </w:p>
    <w:p>
      <w:pPr>
        <w:pStyle w:val="Compact"/>
        <w:numPr>
          <w:ilvl w:val="0"/>
          <w:numId w:val="1012"/>
        </w:numPr>
      </w:pPr>
      <w:r>
        <w:t xml:space="preserve">Підтвердити фактичну форму участі в апробаційних заходах.</w:t>
      </w:r>
    </w:p>
    <w:p>
      <w:pPr>
        <w:pStyle w:val="Compact"/>
        <w:numPr>
          <w:ilvl w:val="0"/>
          <w:numId w:val="1012"/>
        </w:numPr>
      </w:pPr>
      <w:r>
        <w:t xml:space="preserve">Перевірити спеціальність/галузь знань і бібліографічний стиль за документами університету.</w:t>
      </w:r>
    </w:p>
    <w:p>
      <w:pPr>
        <w:pStyle w:val="Compact"/>
        <w:numPr>
          <w:ilvl w:val="0"/>
          <w:numId w:val="1012"/>
        </w:numPr>
      </w:pPr>
      <w:r>
        <w:t xml:space="preserve">Скоротити анотації, повтори доказових застережень і перевантажені таблиці; уніфікувати символи й терміни.</w:t>
      </w:r>
    </w:p>
    <w:bookmarkEnd w:id="24"/>
    <w:bookmarkEnd w:id="25"/>
    <w:bookmarkStart w:id="26" w:name="Xda0919769b454a40085c33205fceaab914524d9"/>
    <w:p>
      <w:pPr>
        <w:pStyle w:val="Heading2"/>
      </w:pPr>
      <w:r>
        <w:t xml:space="preserve">5. Мінімальний шлях до повторного подання</w:t>
      </w:r>
    </w:p>
    <w:p>
      <w:pPr>
        <w:pStyle w:val="FirstParagraph"/>
      </w:pPr>
      <w:r>
        <w:t xml:space="preserve">Якщо неможливо провести великий новий експеримент до захисту, найменш ризиковий шлях такий:</w:t>
      </w:r>
    </w:p>
    <w:p>
      <w:pPr>
        <w:pStyle w:val="Compact"/>
        <w:numPr>
          <w:ilvl w:val="0"/>
          <w:numId w:val="1013"/>
        </w:numPr>
      </w:pPr>
      <w:r>
        <w:t xml:space="preserve">звузити центральний конструкт і всі формулювання до фактично перевірених аномалій;</w:t>
      </w:r>
    </w:p>
    <w:p>
      <w:pPr>
        <w:pStyle w:val="Compact"/>
        <w:numPr>
          <w:ilvl w:val="0"/>
          <w:numId w:val="1013"/>
        </w:numPr>
      </w:pPr>
      <w:r>
        <w:t xml:space="preserve">змінити статус поведінкового методу на формалізований, неперевірений емпірично;</w:t>
      </w:r>
    </w:p>
    <w:p>
      <w:pPr>
        <w:pStyle w:val="Compact"/>
        <w:numPr>
          <w:ilvl w:val="0"/>
          <w:numId w:val="1013"/>
        </w:numPr>
      </w:pPr>
      <w:r>
        <w:t xml:space="preserve">оприлюднити повний пакет наявних відтворюваних серій;</w:t>
      </w:r>
    </w:p>
    <w:p>
      <w:pPr>
        <w:pStyle w:val="Compact"/>
        <w:numPr>
          <w:ilvl w:val="0"/>
          <w:numId w:val="1013"/>
        </w:numPr>
      </w:pPr>
      <w:r>
        <w:t xml:space="preserve">перерахувати статистику на рівні незалежних джерел і позначити решту аналізів розвідувальними;</w:t>
      </w:r>
    </w:p>
    <w:p>
      <w:pPr>
        <w:pStyle w:val="Compact"/>
        <w:numPr>
          <w:ilvl w:val="0"/>
          <w:numId w:val="1013"/>
        </w:numPr>
      </w:pPr>
      <w:r>
        <w:t xml:space="preserve">вилучити</w:t>
      </w:r>
      <w:r>
        <w:t xml:space="preserve"> </w:t>
      </w:r>
      <w:r>
        <w:rPr>
          <w:rStyle w:val="VerbatimChar"/>
        </w:rPr>
        <w:t xml:space="preserve">K_E</w:t>
      </w:r>
      <w:r>
        <w:t xml:space="preserve"> </w:t>
      </w:r>
      <w:r>
        <w:t xml:space="preserve">з ролі головного доказу;</w:t>
      </w:r>
    </w:p>
    <w:p>
      <w:pPr>
        <w:pStyle w:val="Compact"/>
        <w:numPr>
          <w:ilvl w:val="0"/>
          <w:numId w:val="1013"/>
        </w:numPr>
      </w:pPr>
      <w:r>
        <w:t xml:space="preserve">виправити канонічну версію, лічильники, нумерацію, особистий внесок, апробацію та публікаційну матрицю.</w:t>
      </w:r>
    </w:p>
    <w:p>
      <w:pPr>
        <w:pStyle w:val="FirstParagraph"/>
      </w:pPr>
      <w:r>
        <w:t xml:space="preserve">Цей шлях не перетворить роботу на доказ повної технології виявлення аномального коду, але зробить заяви науково захищеними й узгодженими з наявними результатами.</w:t>
      </w:r>
    </w:p>
    <w:bookmarkEnd w:id="26"/>
    <w:bookmarkStart w:id="27" w:name="X00e27ffac1963e48e22cb6c3a2314e142a2cf94"/>
    <w:p>
      <w:pPr>
        <w:pStyle w:val="Heading2"/>
      </w:pPr>
      <w:r>
        <w:t xml:space="preserve">6. Загальний висновок</w:t>
      </w:r>
    </w:p>
    <w:p>
      <w:pPr>
        <w:pStyle w:val="FirstParagraph"/>
      </w:pPr>
      <w:r>
        <w:t xml:space="preserve">Консенсус чотирьох рецензій однозначний: робота має сильну архітектурну основу, добру доказову дисципліну, коректне групування частини даних і цінні негативні результати, але її центральні формулювання, емпірична опора та формальна готовність ще не збігаються.</w:t>
      </w:r>
    </w:p>
    <w:p>
      <w:pPr>
        <w:pStyle w:val="BodyText"/>
      </w:pPr>
      <w:r>
        <w:t xml:space="preserve">Найкраще підтверджений внесок —</w:t>
      </w:r>
      <w:r>
        <w:t xml:space="preserve"> </w:t>
      </w:r>
      <w:r>
        <w:rPr>
          <w:b/>
          <w:bCs/>
        </w:rPr>
        <w:t xml:space="preserve">простежуваний статичний структурний аналіз контрольованих змін і встановлення меж його форматного перенесення</w:t>
      </w:r>
      <w:r>
        <w:t xml:space="preserve">. Повна мультимодальна модель, поведінкове узгодження та п’ятиетапний виробничий контур мають переважно формальний або прототипний статус. Після звуження тверджень, комплектування відтворюваного пакета, нового джерельно-незалежного оцінювання й закриття формальних вимог дисертація може бути підготовлена до повторної рецензії.</w:t>
      </w:r>
    </w:p>
    <w:bookmarkEnd w:id="27"/>
    <w:bookmarkEnd w:id="28"/>
    <w:sectPr w:rsidR="006F3AFB" w:rsidRPr="004C1203" w:rsidSect="000569DC"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DD"/>
    <w:rsid w:val="00020589"/>
    <w:rsid w:val="00026B37"/>
    <w:rsid w:val="000521C7"/>
    <w:rsid w:val="000569DC"/>
    <w:rsid w:val="0006612E"/>
    <w:rsid w:val="000A6FFA"/>
    <w:rsid w:val="000C313B"/>
    <w:rsid w:val="000D295F"/>
    <w:rsid w:val="000E6BA0"/>
    <w:rsid w:val="000F139B"/>
    <w:rsid w:val="0012159D"/>
    <w:rsid w:val="00140F3B"/>
    <w:rsid w:val="00142770"/>
    <w:rsid w:val="0014411D"/>
    <w:rsid w:val="00153D1A"/>
    <w:rsid w:val="001A7A23"/>
    <w:rsid w:val="001D6BDD"/>
    <w:rsid w:val="001E13F6"/>
    <w:rsid w:val="00267AB6"/>
    <w:rsid w:val="002D4959"/>
    <w:rsid w:val="002E71E5"/>
    <w:rsid w:val="002E76DC"/>
    <w:rsid w:val="002F0338"/>
    <w:rsid w:val="0033232E"/>
    <w:rsid w:val="00342874"/>
    <w:rsid w:val="003538B0"/>
    <w:rsid w:val="003A1082"/>
    <w:rsid w:val="003A6D6E"/>
    <w:rsid w:val="00450DF0"/>
    <w:rsid w:val="004605CD"/>
    <w:rsid w:val="00472D9C"/>
    <w:rsid w:val="00491C84"/>
    <w:rsid w:val="00497DAB"/>
    <w:rsid w:val="004C1203"/>
    <w:rsid w:val="004D0F4C"/>
    <w:rsid w:val="004E26B1"/>
    <w:rsid w:val="004E2D25"/>
    <w:rsid w:val="004F3137"/>
    <w:rsid w:val="00527657"/>
    <w:rsid w:val="00562A98"/>
    <w:rsid w:val="005900DF"/>
    <w:rsid w:val="00590790"/>
    <w:rsid w:val="005C16CE"/>
    <w:rsid w:val="005E1C17"/>
    <w:rsid w:val="006025E9"/>
    <w:rsid w:val="0061227C"/>
    <w:rsid w:val="00620C34"/>
    <w:rsid w:val="006226F2"/>
    <w:rsid w:val="00630FDA"/>
    <w:rsid w:val="00662C90"/>
    <w:rsid w:val="00664279"/>
    <w:rsid w:val="006853B4"/>
    <w:rsid w:val="00696417"/>
    <w:rsid w:val="006A2464"/>
    <w:rsid w:val="006A51F0"/>
    <w:rsid w:val="006A6608"/>
    <w:rsid w:val="006D30AC"/>
    <w:rsid w:val="006F3864"/>
    <w:rsid w:val="006F3AFB"/>
    <w:rsid w:val="00703607"/>
    <w:rsid w:val="007220D1"/>
    <w:rsid w:val="00762878"/>
    <w:rsid w:val="007A7062"/>
    <w:rsid w:val="007C4F9F"/>
    <w:rsid w:val="00805921"/>
    <w:rsid w:val="00830F5B"/>
    <w:rsid w:val="00841F7A"/>
    <w:rsid w:val="008539A8"/>
    <w:rsid w:val="008742DC"/>
    <w:rsid w:val="008867AD"/>
    <w:rsid w:val="008A38D7"/>
    <w:rsid w:val="008B3E18"/>
    <w:rsid w:val="008D1B87"/>
    <w:rsid w:val="008E0BE2"/>
    <w:rsid w:val="00905DA6"/>
    <w:rsid w:val="00916B40"/>
    <w:rsid w:val="00944DB9"/>
    <w:rsid w:val="009670AE"/>
    <w:rsid w:val="009E05A8"/>
    <w:rsid w:val="009F0B2F"/>
    <w:rsid w:val="00A16C52"/>
    <w:rsid w:val="00A67D7B"/>
    <w:rsid w:val="00A761F6"/>
    <w:rsid w:val="00AB45B0"/>
    <w:rsid w:val="00AE2D87"/>
    <w:rsid w:val="00B440AF"/>
    <w:rsid w:val="00B50055"/>
    <w:rsid w:val="00B523F3"/>
    <w:rsid w:val="00B621FA"/>
    <w:rsid w:val="00B72124"/>
    <w:rsid w:val="00B72D95"/>
    <w:rsid w:val="00B9041E"/>
    <w:rsid w:val="00C06DA0"/>
    <w:rsid w:val="00C3130E"/>
    <w:rsid w:val="00C6773A"/>
    <w:rsid w:val="00C73E97"/>
    <w:rsid w:val="00C772B3"/>
    <w:rsid w:val="00C94F2A"/>
    <w:rsid w:val="00CA427B"/>
    <w:rsid w:val="00CB76D3"/>
    <w:rsid w:val="00CC16E8"/>
    <w:rsid w:val="00D071C2"/>
    <w:rsid w:val="00D379CF"/>
    <w:rsid w:val="00D41A22"/>
    <w:rsid w:val="00DA5EE3"/>
    <w:rsid w:val="00DC53DD"/>
    <w:rsid w:val="00E12AE4"/>
    <w:rsid w:val="00E704DE"/>
    <w:rsid w:val="00E74A60"/>
    <w:rsid w:val="00EA7D15"/>
    <w:rsid w:val="00EC32D7"/>
    <w:rsid w:val="00EC77E1"/>
    <w:rsid w:val="00ED3A41"/>
    <w:rsid w:val="00EF6B6D"/>
    <w:rsid w:val="00F01020"/>
    <w:rsid w:val="00F23F4C"/>
    <w:rsid w:val="00F40828"/>
    <w:rsid w:val="00F41C50"/>
    <w:rsid w:val="00F46310"/>
    <w:rsid w:val="00F66750"/>
    <w:rsid w:val="00F876D7"/>
    <w:rsid w:val="00FA2C40"/>
    <w:rsid w:val="00FA69C0"/>
    <w:rsid w:val="00FF131E"/>
  </w:rsids>
  <w:themeFontLang w:val="uk-U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uk-UA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2159D"/>
  </w:style>
  <w:style w:styleId="Heading1" w:type="paragraph">
    <w:name w:val="heading 1"/>
    <w:basedOn w:val="Normal"/>
    <w:next w:val="Normal"/>
    <w:uiPriority w:val="9"/>
    <w:qFormat/>
    <w:rsid w:val="006D30AC"/>
    <w:pPr>
      <w:keepNext/>
      <w:keepLines/>
      <w:spacing w:after="120" w:before="120"/>
      <w:outlineLvl w:val="0"/>
    </w:pPr>
    <w:rPr>
      <w:sz w:val="32"/>
      <w:szCs w:val="40"/>
    </w:rPr>
  </w:style>
  <w:style w:styleId="Heading2" w:type="paragraph">
    <w:name w:val="heading 2"/>
    <w:basedOn w:val="Normal"/>
    <w:next w:val="Normal"/>
    <w:uiPriority w:val="9"/>
    <w:unhideWhenUsed/>
    <w:qFormat/>
    <w:rsid w:val="006D30AC"/>
    <w:pPr>
      <w:keepNext/>
      <w:keepLines/>
      <w:spacing w:after="120" w:before="120"/>
      <w:outlineLvl w:val="1"/>
    </w:pPr>
    <w:rPr>
      <w:sz w:val="28"/>
      <w:szCs w:val="32"/>
    </w:rPr>
  </w:style>
  <w:style w:styleId="Heading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styleId="LineNumber" w:type="character">
    <w:name w:val="line number"/>
    <w:basedOn w:val="DefaultParagraphFont"/>
    <w:uiPriority w:val="99"/>
    <w:semiHidden/>
    <w:unhideWhenUsed/>
    <w:rsid w:val="007220D1"/>
  </w:style>
  <w:style w:styleId="ListParagraph" w:type="paragraph">
    <w:name w:val="List Paragraph"/>
    <w:basedOn w:val="Normal"/>
    <w:uiPriority w:val="34"/>
    <w:qFormat/>
    <w:rsid w:val="008539A8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2469</Words>
  <Characters>14076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2026-07-21T09:50:49Z</dcterms:created>
  <dcterms:modified xsi:type="dcterms:W3CDTF">2026-07-21T09:50:49Z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