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da5b0447e8a0464d3db9d245c638cbab65ad964"/>
    <w:p>
      <w:pPr>
        <w:pStyle w:val="Heading1"/>
      </w:pPr>
      <w:r>
        <w:t xml:space="preserve">Незалежна рецензія 2: наукова новизна та доказові межі</w:t>
      </w:r>
    </w:p>
    <w:p>
      <w:pPr>
        <w:pStyle w:val="FirstParagraph"/>
      </w:pPr>
      <w:r>
        <w:rPr>
          <w:b/>
          <w:bCs/>
        </w:rPr>
        <w:t xml:space="preserve">Рукопис:</w:t>
      </w:r>
      <w:r>
        <w:t xml:space="preserve"> </w:t>
      </w:r>
      <w:r>
        <w:t xml:space="preserve">«Інформаційна технологія виявлення ознак аномального вмісту в мультимедійних даних вебсередовища»</w:t>
      </w:r>
    </w:p>
    <w:p>
      <w:pPr>
        <w:pStyle w:val="BodyText"/>
      </w:pPr>
      <w:r>
        <w:rPr>
          <w:b/>
          <w:bCs/>
        </w:rPr>
        <w:t xml:space="preserve">Незалежність:</w:t>
      </w:r>
      <w:r>
        <w:t xml:space="preserve"> </w:t>
      </w:r>
      <w:r>
        <w:t xml:space="preserve">рецензію виконано без доступу до висновків інших рецензентів.</w:t>
      </w:r>
    </w:p>
    <w:bookmarkStart w:id="18" w:name="загальний-висновок"/>
    <w:p>
      <w:pPr>
        <w:pStyle w:val="Heading2"/>
      </w:pPr>
      <w:r>
        <w:t xml:space="preserve">Загальний висновок</w:t>
      </w:r>
    </w:p>
    <w:p>
      <w:pPr>
        <w:pStyle w:val="FirstParagraph"/>
      </w:pPr>
      <w:r>
        <w:t xml:space="preserve">Внутрішня конструкція наукових результатів є послідовною: у вступі сформульовано чотири положення, які відповідають моделі розділу 2, двом методам підрозділів 3.2–3.3 та інформаційній технології підрозділу 3.4. Вісім завдань і вісім загальних висновків зберігають той самий порядок. У рукописі немає спроб подати відомі DCT, DWT, структурний розбір або машинне навчання як новизну самі по собі.</w:t>
      </w:r>
    </w:p>
    <w:p>
      <w:pPr>
        <w:pStyle w:val="BodyText"/>
      </w:pPr>
      <w:r>
        <w:t xml:space="preserve">Найбільш захищуваним ядром новизни є не окремий математичний апарат, а його організація навколо незмінного носія, походження представлень, масок доступності, координат ознак, причинно-фазового допуску подій і відокремлення аналітичного стану від технологічної дії.</w:t>
      </w:r>
    </w:p>
    <w:bookmarkEnd w:id="18"/>
    <w:bookmarkStart w:id="19" w:name="сильні-сторони"/>
    <w:p>
      <w:pPr>
        <w:pStyle w:val="Heading2"/>
      </w:pPr>
      <w:r>
        <w:t xml:space="preserve">Сильні сторони</w:t>
      </w:r>
    </w:p>
    <w:p>
      <w:pPr>
        <w:pStyle w:val="Compact"/>
        <w:numPr>
          <w:ilvl w:val="0"/>
          <w:numId w:val="1001"/>
        </w:numPr>
      </w:pPr>
      <w:r>
        <w:t xml:space="preserve">Положення новизни предметні й відповідають реальним структурним одиницям рукопису.</w:t>
      </w:r>
    </w:p>
    <w:p>
      <w:pPr>
        <w:pStyle w:val="Compact"/>
        <w:numPr>
          <w:ilvl w:val="0"/>
          <w:numId w:val="1001"/>
        </w:numPr>
      </w:pPr>
      <w:r>
        <w:t xml:space="preserve">Таблиця простежуваності у вступі пов’язує завдання, результати, експериментальну опору та доказовий статус.</w:t>
      </w:r>
    </w:p>
    <w:p>
      <w:pPr>
        <w:pStyle w:val="Compact"/>
        <w:numPr>
          <w:ilvl w:val="0"/>
          <w:numId w:val="1001"/>
        </w:numPr>
      </w:pPr>
      <w:r>
        <w:t xml:space="preserve">У розділі 3 наведено порівняння запропонованих результатів із найближчими класами аналогів.</w:t>
      </w:r>
    </w:p>
    <w:p>
      <w:pPr>
        <w:pStyle w:val="Compact"/>
        <w:numPr>
          <w:ilvl w:val="0"/>
          <w:numId w:val="1001"/>
        </w:numPr>
      </w:pPr>
      <w:r>
        <w:t xml:space="preserve">Межі підтвердження не приховано: повний другий метод, промисловий контур і повне історичне виділення ознак не оголошено перевіреними.</w:t>
      </w:r>
    </w:p>
    <w:p>
      <w:pPr>
        <w:pStyle w:val="Compact"/>
        <w:numPr>
          <w:ilvl w:val="0"/>
          <w:numId w:val="1001"/>
        </w:numPr>
      </w:pPr>
      <w:r>
        <w:t xml:space="preserve">Четвертий результат коректно сформульовано як такий, за яким інформаційна технологія набула подальшого розвитку.</w:t>
      </w:r>
    </w:p>
    <w:bookmarkEnd w:id="19"/>
    <w:bookmarkStart w:id="25" w:name="основні-ризики-новизни"/>
    <w:p>
      <w:pPr>
        <w:pStyle w:val="Heading2"/>
      </w:pPr>
      <w:r>
        <w:t xml:space="preserve">Основні ризики новизни</w:t>
      </w:r>
    </w:p>
    <w:bookmarkStart w:id="20" w:name="X2ae2ae4cc481b233f9943a5a36ab09aa2bc39c4"/>
    <w:p>
      <w:pPr>
        <w:pStyle w:val="Heading3"/>
      </w:pPr>
      <w:r>
        <w:t xml:space="preserve">1. Статусні формули потребують конкретного найближчого аналога</w:t>
      </w:r>
    </w:p>
    <w:p>
      <w:pPr>
        <w:pStyle w:val="FirstParagraph"/>
      </w:pPr>
      <w:r>
        <w:t xml:space="preserve">Формули «удосконалено», «розроблено» та «набула подальшого розвитку» повинні спиратися не лише на клас підходів, а на названий прототип або найближчий результат із точним переліком відмінностей. Поточне порівняння достатнє для орієнтації читача, але для захисту бажано мати окрему авторську довідку з джерелами та сторінками.</w:t>
      </w:r>
    </w:p>
    <w:bookmarkEnd w:id="20"/>
    <w:bookmarkStart w:id="21" w:name="X6b7b4baa645d4cc2c0b0df4bdb5e10b17a7756c"/>
    <w:p>
      <w:pPr>
        <w:pStyle w:val="Heading3"/>
      </w:pPr>
      <w:r>
        <w:t xml:space="preserve">2. Другий метод межує з формальною процедурою</w:t>
      </w:r>
    </w:p>
    <w:p>
      <w:pPr>
        <w:pStyle w:val="FirstParagraph"/>
      </w:pPr>
      <w:r>
        <w:t xml:space="preserve">Його алгоритм і контракт науково змістовні, однак повна конфігурація не має експериментальної реалізації. Якщо новий експеримент не буде виконано, формулювання новизни потрібно захищати як розроблення формального методу з чітко вказаною межею перевірки, не як доведену практичну перевагу.</w:t>
      </w:r>
    </w:p>
    <w:bookmarkEnd w:id="21"/>
    <w:bookmarkStart w:id="22" w:name="X685490a6055c543647fbaf1b6e2a0add53e60ab"/>
    <w:p>
      <w:pPr>
        <w:pStyle w:val="Heading3"/>
      </w:pPr>
      <w:r>
        <w:t xml:space="preserve">3. Розвиток інформаційної технології потребує названої вихідної технології</w:t>
      </w:r>
    </w:p>
    <w:p>
      <w:pPr>
        <w:pStyle w:val="FirstParagraph"/>
      </w:pPr>
      <w:r>
        <w:t xml:space="preserve">Для формули «набула подальшого розвитку» слід у матеріалах до захисту вказати, яку саме попередню технологію розвинуто, які її складники змінено і які нові властивості одержано.</w:t>
      </w:r>
    </w:p>
    <w:bookmarkEnd w:id="22"/>
    <w:bookmarkStart w:id="23" w:name="Xf96439a917b7708b8d20203e834c004b9220e28"/>
    <w:p>
      <w:pPr>
        <w:pStyle w:val="Heading3"/>
      </w:pPr>
      <w:r>
        <w:t xml:space="preserve">4. Документальна публікаційна опора не завершена</w:t>
      </w:r>
    </w:p>
    <w:p>
      <w:pPr>
        <w:pStyle w:val="FirstParagraph"/>
      </w:pPr>
      <w:r>
        <w:t xml:space="preserve">Матриця «положення новизни → публікація → сторінки → експеримент → особистий внесок» свідомо залишена відкритою. За рішенням автора цей блок поки не закривався. Він не є редакційною вадою тексту, але залишається обов’язковим зовнішнім гейтом перед офіційним поданням.</w:t>
      </w:r>
    </w:p>
    <w:bookmarkEnd w:id="23"/>
    <w:bookmarkStart w:id="24" w:name="X628e5e48fced65c534dd82936b817967d8c776e"/>
    <w:p>
      <w:pPr>
        <w:pStyle w:val="Heading3"/>
      </w:pPr>
      <w:r>
        <w:t xml:space="preserve">5. Нова тема потребує інституційного підтвердження</w:t>
      </w:r>
    </w:p>
    <w:p>
      <w:pPr>
        <w:pStyle w:val="FirstParagraph"/>
      </w:pPr>
      <w:r>
        <w:t xml:space="preserve">Назва послідовно змінена в українському й англійському тексті, PDF, Word і службових матеріалах. Остаточне формулювання теми має збігатися з офіційним рішенням установи та записами відділу аспірантури.</w:t>
      </w:r>
    </w:p>
    <w:bookmarkEnd w:id="24"/>
    <w:bookmarkEnd w:id="25"/>
    <w:bookmarkStart w:id="26" w:name="рекомендація"/>
    <w:p>
      <w:pPr>
        <w:pStyle w:val="Heading2"/>
      </w:pPr>
      <w:r>
        <w:t xml:space="preserve">Рекомендація</w:t>
      </w:r>
    </w:p>
    <w:p>
      <w:pPr>
        <w:pStyle w:val="FirstParagraph"/>
      </w:pPr>
      <w:r>
        <w:t xml:space="preserve">Наукову новизну можна вважати сформованою на рівні рукопису, але її остаточна захищуваність залежить від трьох документів: порівняння з конкретними найближчими аналогами, підтвердження повного другого методу або звуження його статусу та погодженої публікаційно-авторської матриці.</w:t>
      </w:r>
    </w:p>
    <w:p>
      <w:pPr>
        <w:pStyle w:val="BodyText"/>
      </w:pPr>
      <w:r>
        <w:rPr>
          <w:b/>
          <w:bCs/>
        </w:rPr>
        <w:t xml:space="preserve">Вердикт:</w:t>
      </w:r>
      <w:r>
        <w:t xml:space="preserve"> </w:t>
      </w:r>
      <w:r>
        <w:t xml:space="preserve">положення новизни внутрішньо узгоджені й предметно відмінні; остаточне підтвердження пріоритету та особистого внеску залишається документальним гейтом.</w:t>
      </w:r>
    </w:p>
    <w:bookmarkEnd w:id="26"/>
    <w:bookmarkEnd w:id="27"/>
    <w:sectPr w:rsidR="00FC693F" w:rsidRPr="0006063C" w:rsidSect="00034616">
      <w:footerReference r:id="rId9" w:type="default"/>
      <w:pgSz w:h="16838" w:w="11906"/>
      <w:pgMar w:bottom="1134" w:footer="567" w:gutter="0" w:header="567" w:left="1701" w:right="850" w:top="1134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HeaderChar" w:type="character">
    <w:name w:val="Header Char"/>
    <w:basedOn w:val="DefaultParagraphFont"/>
    <w:link w:val="Header"/>
    <w:uiPriority w:val="99"/>
    <w:rsid w:val="00E618BF"/>
    <w:rPr>
      <w:rFonts w:ascii="Times New Roman" w:cs="Times New Roman" w:eastAsia="Times New Roman" w:hAnsi="Times New Roman"/>
      <w:color w:val="000000"/>
    </w:rPr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FooterChar" w:type="character">
    <w:name w:val="Footer Char"/>
    <w:basedOn w:val="DefaultParagraphFont"/>
    <w:link w:val="Footer"/>
    <w:uiPriority w:val="99"/>
    <w:rsid w:val="00E618BF"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360" w:before="0" w:line="276" w:lineRule="auto"/>
      <w:ind w:firstLine="0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276" w:lineRule="auto"/>
      <w:ind w:firstLine="0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00" w:line="276" w:lineRule="auto"/>
      <w:ind w:firstLine="0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 w:line="276" w:lineRule="auto"/>
      <w:ind w:firstLine="0"/>
      <w:jc w:val="left"/>
      <w:outlineLvl w:val="3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ind w:firstLine="0"/>
      <w:contextualSpacing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cs="Times New Roman" w:eastAsia="Times New Roman" w:hAnsi="Times New Roman"/>
      <w:color w:val="000000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  <w:rPr>
      <w:rFonts w:ascii="Times New Roman" w:cs="Times New Roman" w:eastAsia="Times New Roman" w:hAnsi="Times New Roman"/>
      <w:color w:val="000000"/>
    </w:rPr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cs="Times New Roman" w:eastAsia="Times New Roman" w:hAnsi="Times New Roman"/>
      <w:color w:val="000000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  <w:rPr>
      <w:rFonts w:ascii="Times New Roman" w:cs="Times New Roman" w:eastAsia="Times New Roman" w:hAnsi="Times New Roman"/>
      <w:color w:val="000000"/>
    </w:rPr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cs="Times New Roman" w:eastAsia="Times New Roman" w:hAnsi="Times New Roman"/>
      <w:color w:val="000000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ascii="Times New Roman" w:cs="Times New Roman" w:eastAsia="Times New Roman" w:hAnsi="Times New Roman"/>
      <w:color w:val="000000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  <w:rPr>
      <w:rFonts w:ascii="Times New Roman" w:cs="Times New Roman" w:eastAsia="Times New Roman" w:hAnsi="Times New Roman"/>
      <w:color w:val="000000"/>
    </w:r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  <w:rPr>
      <w:rFonts w:ascii="Times New Roman" w:cs="Times New Roman" w:eastAsia="Times New Roman" w:hAnsi="Times New Roman"/>
      <w:color w:val="000000"/>
    </w:r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  <w:rPr>
      <w:rFonts w:ascii="Times New Roman" w:cs="Times New Roman" w:eastAsia="Times New Roman" w:hAnsi="Times New Roman"/>
      <w:color w:val="000000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cs="Times New Roman" w:eastAsia="Times New Roman" w:hAnsi="Times New Roman"/>
      <w:color w:val="000000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cs="Times New Roman" w:eastAsia="Times New Roman" w:hAnsi="Times New Roman"/>
      <w:color w:val="000000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cs="Times New Roman" w:eastAsia="Times New Roman" w:hAnsi="Times New Roman"/>
      <w:color w:val="000000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Times New Roman" w:cs="Times New Roman" w:eastAsia="Times New Roman" w:hAnsi="Times New Roman"/>
      <w:color w:val="000000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Times New Roman" w:cs="Times New Roman" w:eastAsia="Times New Roman" w:hAnsi="Times New Roman"/>
      <w:color w:val="000000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rFonts w:ascii="Times New Roman" w:cs="Times New Roman" w:eastAsia="Times New Roman" w:hAnsi="Times New Roman"/>
      <w:i/>
      <w:iCs/>
      <w:color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ascii="Times New Roman" w:cs="Times New Roman" w:eastAsia="Times New Roman" w:hAnsi="Times New Roman"/>
      <w:i/>
      <w:iCs/>
      <w:color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before="60" w:line="240" w:lineRule="auto"/>
      <w:ind w:firstLine="0"/>
      <w:jc w:val="center"/>
    </w:pPr>
    <w:rPr>
      <w:rFonts w:ascii="Times New Roman" w:cs="Times New Roman" w:eastAsia="Times New Roman" w:hAnsi="Times New Roman"/>
      <w:b w:val="0"/>
      <w:bCs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ascii="Times New Roman" w:cs="Times New Roman" w:eastAsia="Times New Roman" w:hAnsi="Times New Roman"/>
      <w:b/>
      <w:bCs/>
      <w:color w:val="000000"/>
    </w:rPr>
  </w:style>
  <w:style w:styleId="Emphasis" w:type="character">
    <w:name w:val="Emphasis"/>
    <w:basedOn w:val="DefaultParagraphFont"/>
    <w:uiPriority w:val="20"/>
    <w:qFormat/>
    <w:rsid w:val="00FC693F"/>
    <w:rPr>
      <w:rFonts w:ascii="Times New Roman" w:cs="Times New Roman" w:eastAsia="Times New Roman" w:hAnsi="Times New Roman"/>
      <w:i/>
      <w:iCs/>
      <w:color w:val="00000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spacing w:after="280" w:before="200"/>
      <w:ind w:left="936" w:right="936"/>
    </w:pPr>
    <w:rPr>
      <w:rFonts w:ascii="Times New Roman" w:cs="Times New Roman" w:eastAsia="Times New Roman" w:hAnsi="Times New Roman"/>
      <w:b/>
      <w:bCs/>
      <w:i/>
      <w:iCs/>
      <w:color w:val="000000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ascii="Times New Roman" w:cs="Times New Roman" w:eastAsia="Times New Roman" w:hAnsi="Times New Roman"/>
      <w:b/>
      <w:bCs/>
      <w:i/>
      <w:iCs/>
      <w:color w:val="000000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ascii="Times New Roman" w:cs="Times New Roman" w:eastAsia="Times New Roman" w:hAnsi="Times New Roman"/>
      <w:i/>
      <w:iCs/>
      <w:color w:val="00000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ascii="Times New Roman" w:cs="Times New Roman" w:eastAsia="Times New Roman" w:hAnsi="Times New Roman"/>
      <w:b/>
      <w:bCs/>
      <w:i/>
      <w:iCs/>
      <w:color w:val="000000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ascii="Times New Roman" w:cs="Times New Roman" w:eastAsia="Times New Roman" w:hAnsi="Times New Roman"/>
      <w:smallCaps/>
      <w:color w:val="000000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ascii="Times New Roman" w:cs="Times New Roman" w:eastAsia="Times New Roman" w:hAnsi="Times New Roman"/>
      <w:b/>
      <w:bCs/>
      <w:smallCaps/>
      <w:color w:val="000000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ascii="Times New Roman" w:cs="Times New Roman" w:eastAsia="Times New Roman" w:hAnsi="Times New Roman"/>
      <w:b/>
      <w:bCs/>
      <w:smallCaps/>
      <w:color w:val="000000"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cs="Times New Roman" w:eastAsia="Times New Roman" w:hAnsi="Times New Roman"/>
      <w:color w:val="000000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BlockText" w:type="paragraph">
    <w:name w:val="Block Text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Compact" w:type="paragraph">
    <w:name w:val="Compact"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color w:val="000000"/>
      <w:sz w:val="21"/>
    </w:rPr>
  </w:style>
  <w:style w:customStyle="1" w:styleId="Table" w:type="table">
    <w:name w:val="Table"/>
    <w:rPr>
      <w:rFonts w:ascii="Times New Roman" w:cs="Times New Roman" w:eastAsia="Times New Roman" w:hAnsi="Times New Roman"/>
      <w:color w:val="000000"/>
      <w:sz w:val="21"/>
    </w:rPr>
  </w:style>
  <w:style w:customStyle="1" w:styleId="Bibliography" w:type="paragraph">
    <w:name w:val="Bibliography"/>
    <w:pPr>
      <w:spacing w:after="60" w:before="0" w:line="240" w:lineRule="auto"/>
      <w:ind w:firstLine="0" w:left="0"/>
    </w:pPr>
    <w:rPr>
      <w:rFonts w:ascii="Times New Roman" w:cs="Times New Roman" w:eastAsia="Times New Roman" w:hAnsi="Times New Roman"/>
      <w:color w:val="000000"/>
      <w:sz w:val="24"/>
    </w:rPr>
  </w:style>
  <w:style w:customStyle="1" w:styleId="Hyperlink" w:type="character">
    <w:name w:val="Hyperlink"/>
    <w:rPr>
      <w:rFonts w:ascii="Times New Roman" w:cs="Times New Roman" w:eastAsia="Times New Roman" w:hAnsi="Times New Roman"/>
      <w:color w:val="000000"/>
      <w:u w:val="none"/>
    </w:rPr>
  </w:style>
  <w:style w:customStyle="1" w:styleId="FollowedHyperlink" w:type="character">
    <w:name w:val="Followed Hyperlink"/>
    <w:rPr>
      <w:rFonts w:ascii="Times New Roman" w:cs="Times New Roman" w:eastAsia="Times New Roman" w:hAnsi="Times New Roman"/>
      <w:color w:val="000000"/>
      <w:u w:val="none"/>
    </w:rPr>
  </w:style>
  <w:style w:customStyle="1" w:styleId="SectionNumber" w:type="character">
    <w:name w:val="Section Number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rPr>
      <w:rFonts w:ascii="Times New Roman" w:cs="Times New Roman" w:eastAsia="Times New Roman" w:hAnsi="Times New Roman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2026-08-23T16:09:09Z</dcterms:created>
  <dcterms:modified xsi:type="dcterms:W3CDTF">2026-08-23T16:09:09Z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