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Xe32cde3e185adfaae59240c4ccccab3f72734bb"/>
    <w:p>
      <w:pPr>
        <w:pStyle w:val="Heading1"/>
      </w:pPr>
      <w:r>
        <w:t xml:space="preserve">Незалежна рецензія 3: формально-технічна готовність</w:t>
      </w:r>
    </w:p>
    <w:p>
      <w:pPr>
        <w:pStyle w:val="FirstParagraph"/>
      </w:pPr>
      <w:r>
        <w:rPr>
          <w:b/>
          <w:bCs/>
        </w:rPr>
        <w:t xml:space="preserve">Рукопис:</w:t>
      </w:r>
      <w:r>
        <w:t xml:space="preserve"> </w:t>
      </w:r>
      <w:r>
        <w:t xml:space="preserve">«Інформаційна технологія виявлення ознак аномального вмісту в мультимедійних даних вебсередовища»</w:t>
      </w:r>
    </w:p>
    <w:p>
      <w:pPr>
        <w:pStyle w:val="BodyText"/>
      </w:pPr>
      <w:r>
        <w:rPr>
          <w:b/>
          <w:bCs/>
        </w:rPr>
        <w:t xml:space="preserve">Об’єкти перевірки:</w:t>
      </w:r>
      <w:r>
        <w:t xml:space="preserve"> </w:t>
      </w:r>
      <w:r>
        <w:t xml:space="preserve">фінальний LaTeX-PDF, сформований DOCX, OOXML-структура, зміст, перехресні посилання, рисунки, таблиці, формули, алгоритми й бібліографія.</w:t>
      </w:r>
    </w:p>
    <w:p>
      <w:pPr>
        <w:pStyle w:val="BodyText"/>
      </w:pPr>
      <w:r>
        <w:rPr>
          <w:b/>
          <w:bCs/>
        </w:rPr>
        <w:t xml:space="preserve">Незалежність:</w:t>
      </w:r>
      <w:r>
        <w:t xml:space="preserve"> </w:t>
      </w:r>
      <w:r>
        <w:t xml:space="preserve">висновки інших рецензентів під час перевірки не використовувалися.</w:t>
      </w:r>
    </w:p>
    <w:bookmarkStart w:id="18" w:name="загальний-висновок"/>
    <w:p>
      <w:pPr>
        <w:pStyle w:val="Heading2"/>
      </w:pPr>
      <w:r>
        <w:t xml:space="preserve">Загальний висновок</w:t>
      </w:r>
    </w:p>
    <w:p>
      <w:pPr>
        <w:pStyle w:val="FirstParagraph"/>
      </w:pPr>
      <w:r>
        <w:t xml:space="preserve">Після внесених виправлень формально-технічний пакет має високий ступінь готовності. LaTeX-PDF збирається без переповнених блоків, невизначених посилань, невизначених цитувань і дубльованих PDF-міток. DOCX пройшов 89 із 89 автоматизованих перевірок і коректно відтворився в LibreOffice на 217 сторінках, включно з горизонтальною таблицею А.1.</w:t>
      </w:r>
    </w:p>
    <w:bookmarkEnd w:id="18"/>
    <w:bookmarkStart w:id="19" w:name="перевірені-характеристики-pdf"/>
    <w:p>
      <w:pPr>
        <w:pStyle w:val="Heading2"/>
      </w:pPr>
      <w:r>
        <w:t xml:space="preserve">Перевірені характеристики PDF</w:t>
      </w:r>
    </w:p>
    <w:p>
      <w:pPr>
        <w:pStyle w:val="Compact"/>
        <w:numPr>
          <w:ilvl w:val="0"/>
          <w:numId w:val="1001"/>
        </w:numPr>
      </w:pPr>
      <w:r>
        <w:t xml:space="preserve">204 сторінки формату A4;</w:t>
      </w:r>
    </w:p>
    <w:p>
      <w:pPr>
        <w:pStyle w:val="Compact"/>
        <w:numPr>
          <w:ilvl w:val="0"/>
          <w:numId w:val="1001"/>
        </w:numPr>
      </w:pPr>
      <w:r>
        <w:t xml:space="preserve">22 рисунки;</w:t>
      </w:r>
    </w:p>
    <w:p>
      <w:pPr>
        <w:pStyle w:val="Compact"/>
        <w:numPr>
          <w:ilvl w:val="0"/>
          <w:numId w:val="1001"/>
        </w:numPr>
      </w:pPr>
      <w:r>
        <w:t xml:space="preserve">42 нумеровані таблиці;</w:t>
      </w:r>
    </w:p>
    <w:p>
      <w:pPr>
        <w:pStyle w:val="Compact"/>
        <w:numPr>
          <w:ilvl w:val="0"/>
          <w:numId w:val="1001"/>
        </w:numPr>
      </w:pPr>
      <w:r>
        <w:t xml:space="preserve">36 нумерованих формул;</w:t>
      </w:r>
    </w:p>
    <w:p>
      <w:pPr>
        <w:pStyle w:val="Compact"/>
        <w:numPr>
          <w:ilvl w:val="0"/>
          <w:numId w:val="1001"/>
        </w:numPr>
      </w:pPr>
      <w:r>
        <w:t xml:space="preserve">два алгоритми;</w:t>
      </w:r>
    </w:p>
    <w:p>
      <w:pPr>
        <w:pStyle w:val="Compact"/>
        <w:numPr>
          <w:ilvl w:val="0"/>
          <w:numId w:val="1001"/>
        </w:numPr>
      </w:pPr>
      <w:r>
        <w:t xml:space="preserve">109 джерел;</w:t>
      </w:r>
    </w:p>
    <w:p>
      <w:pPr>
        <w:pStyle w:val="Compact"/>
        <w:numPr>
          <w:ilvl w:val="0"/>
          <w:numId w:val="1001"/>
        </w:numPr>
      </w:pPr>
      <w:r>
        <w:t xml:space="preserve">розділ 1 починається на с. 33, загальні висновки завершуються на с. 184;</w:t>
      </w:r>
    </w:p>
    <w:p>
      <w:pPr>
        <w:pStyle w:val="Compact"/>
        <w:numPr>
          <w:ilvl w:val="0"/>
          <w:numId w:val="1001"/>
        </w:numPr>
      </w:pPr>
      <w:r>
        <w:t xml:space="preserve">перший метод займає с. 90–106, другий — с. 107–122;</w:t>
      </w:r>
    </w:p>
    <w:p>
      <w:pPr>
        <w:pStyle w:val="Compact"/>
        <w:numPr>
          <w:ilvl w:val="0"/>
          <w:numId w:val="1001"/>
        </w:numPr>
      </w:pPr>
      <w:r>
        <w:t xml:space="preserve">усі посилання зі змісту ведуть на сторінки, надруковані у змісті;</w:t>
      </w:r>
    </w:p>
    <w:p>
      <w:pPr>
        <w:pStyle w:val="Compact"/>
        <w:numPr>
          <w:ilvl w:val="0"/>
          <w:numId w:val="1001"/>
        </w:numPr>
      </w:pPr>
      <w:r>
        <w:t xml:space="preserve">алгоритм 3.2 уміщено на с. 112 без накладання на номер сторінки.</w:t>
      </w:r>
    </w:p>
    <w:bookmarkEnd w:id="19"/>
    <w:bookmarkStart w:id="20" w:name="перевірені-характеристики-docx"/>
    <w:p>
      <w:pPr>
        <w:pStyle w:val="Heading2"/>
      </w:pPr>
      <w:r>
        <w:t xml:space="preserve">Перевірені характеристики DOCX</w:t>
      </w:r>
    </w:p>
    <w:p>
      <w:pPr>
        <w:pStyle w:val="Compact"/>
        <w:numPr>
          <w:ilvl w:val="0"/>
          <w:numId w:val="1002"/>
        </w:numPr>
      </w:pPr>
      <w:r>
        <w:t xml:space="preserve">Титульну сторінку узгоджено з чинним зразком Хмельницького національного університету: наявні декларація про власні результати, місце підпису та позначка «(підпис)».</w:t>
      </w:r>
    </w:p>
    <w:p>
      <w:pPr>
        <w:pStyle w:val="Compact"/>
        <w:numPr>
          <w:ilvl w:val="0"/>
          <w:numId w:val="1002"/>
        </w:numPr>
      </w:pPr>
      <w:r>
        <w:t xml:space="preserve">Основний стиль — Times New Roman, 14 пунктів, чорний колір, міжрядковий інтервал 1,5, абзац 1,25 см.</w:t>
      </w:r>
    </w:p>
    <w:p>
      <w:pPr>
        <w:pStyle w:val="Compact"/>
        <w:numPr>
          <w:ilvl w:val="0"/>
          <w:numId w:val="1002"/>
        </w:numPr>
      </w:pPr>
      <w:r>
        <w:t xml:space="preserve">Поля: ліве 3 см, праве 1,5 см, верхнє й нижнє по 2 см.</w:t>
      </w:r>
    </w:p>
    <w:p>
      <w:pPr>
        <w:pStyle w:val="Compact"/>
        <w:numPr>
          <w:ilvl w:val="0"/>
          <w:numId w:val="1002"/>
        </w:numPr>
      </w:pPr>
      <w:r>
        <w:t xml:space="preserve">Усі 42 таблиці використовують визначений стиль, мають явні межі та повторюваний заголовковий рядок.</w:t>
      </w:r>
    </w:p>
    <w:p>
      <w:pPr>
        <w:pStyle w:val="Compact"/>
        <w:numPr>
          <w:ilvl w:val="0"/>
          <w:numId w:val="1002"/>
        </w:numPr>
      </w:pPr>
      <w:r>
        <w:t xml:space="preserve">Підписи всіх таблиць і рисунків зв’язані з наступними об’єктами властивістю утримання на сторінці.</w:t>
      </w:r>
    </w:p>
    <w:p>
      <w:pPr>
        <w:pStyle w:val="Compact"/>
        <w:numPr>
          <w:ilvl w:val="0"/>
          <w:numId w:val="1002"/>
        </w:numPr>
      </w:pPr>
      <w:r>
        <w:t xml:space="preserve">Таблиця А.1 розміщена в окремій горизонтальній секції; до і після неї збережено книжкову орієнтацію.</w:t>
      </w:r>
    </w:p>
    <w:p>
      <w:pPr>
        <w:pStyle w:val="Compact"/>
        <w:numPr>
          <w:ilvl w:val="0"/>
          <w:numId w:val="1002"/>
        </w:numPr>
      </w:pPr>
      <w:r>
        <w:t xml:space="preserve">Автоматичне поле змісту містить видимий збережений результат і позначене для оновлення під час відкриття в Microsoft Word.</w:t>
      </w:r>
    </w:p>
    <w:p>
      <w:pPr>
        <w:pStyle w:val="Compact"/>
        <w:numPr>
          <w:ilvl w:val="0"/>
          <w:numId w:val="1002"/>
        </w:numPr>
      </w:pPr>
      <w:r>
        <w:t xml:space="preserve">Абсолютні локальні шляхи й користувацькі властивості вилучено.</w:t>
      </w:r>
    </w:p>
    <w:p>
      <w:pPr>
        <w:pStyle w:val="Compact"/>
        <w:numPr>
          <w:ilvl w:val="0"/>
          <w:numId w:val="1002"/>
        </w:numPr>
      </w:pPr>
      <w:r>
        <w:t xml:space="preserve">Невизначених абзацних стилів в OOXML немає; це усунуло розпад таблиць під час незалежного відтворення.</w:t>
      </w:r>
    </w:p>
    <w:p>
      <w:pPr>
        <w:pStyle w:val="Compact"/>
        <w:numPr>
          <w:ilvl w:val="0"/>
          <w:numId w:val="1002"/>
        </w:numPr>
      </w:pPr>
      <w:r>
        <w:t xml:space="preserve">У документі немає зовнішньо під’єднаних зображень, виправлень Track Changes або активних коментарів.</w:t>
      </w:r>
    </w:p>
    <w:bookmarkEnd w:id="20"/>
    <w:bookmarkStart w:id="21" w:name="залишкові-застереження"/>
    <w:p>
      <w:pPr>
        <w:pStyle w:val="Heading2"/>
      </w:pPr>
      <w:r>
        <w:t xml:space="preserve">Залишкові застереження</w:t>
      </w:r>
    </w:p>
    <w:p>
      <w:pPr>
        <w:pStyle w:val="Compact"/>
        <w:numPr>
          <w:ilvl w:val="0"/>
          <w:numId w:val="1003"/>
        </w:numPr>
      </w:pPr>
      <w:r>
        <w:t xml:space="preserve">Сторінковість Word відрізняється від LaTeX-PDF через інший механізм набору. Перед офіційним передаванням потрібно відкрити DOCX у Microsoft Word, оновити всі поля та зберегти файл; після цього слід перевірити сторінки змісту саме для Word-версії.</w:t>
      </w:r>
    </w:p>
    <w:p>
      <w:pPr>
        <w:pStyle w:val="Compact"/>
        <w:numPr>
          <w:ilvl w:val="0"/>
          <w:numId w:val="1003"/>
        </w:numPr>
      </w:pPr>
      <w:r>
        <w:t xml:space="preserve">У журналі LaTeX залишилися повідомлення</w:t>
      </w:r>
      <w:r>
        <w:t xml:space="preserve"> </w:t>
      </w:r>
      <w:r>
        <w:rPr>
          <w:rStyle w:val="VerbatimChar"/>
        </w:rPr>
        <w:t xml:space="preserve">Underfull hbox</w:t>
      </w:r>
      <w:r>
        <w:t xml:space="preserve">, переважно для вузьких комірок таблиць і бібліографічних записів. Вони не спричинили виходу тексту за поля або накладання.</w:t>
      </w:r>
    </w:p>
    <w:p>
      <w:pPr>
        <w:pStyle w:val="Compact"/>
        <w:numPr>
          <w:ilvl w:val="0"/>
          <w:numId w:val="1003"/>
        </w:numPr>
      </w:pPr>
      <w:r>
        <w:t xml:space="preserve">Нумерація формул і посилань у DOCX є результатом конвертації; після ручного редагування Word їх потрібно контролювати повторно.</w:t>
      </w:r>
    </w:p>
    <w:p>
      <w:pPr>
        <w:pStyle w:val="FirstParagraph"/>
      </w:pPr>
      <w:r>
        <w:rPr>
          <w:b/>
          <w:bCs/>
        </w:rPr>
        <w:t xml:space="preserve">Вердикт:</w:t>
      </w:r>
      <w:r>
        <w:t xml:space="preserve"> </w:t>
      </w:r>
      <w:r>
        <w:t xml:space="preserve">PDF і DOCX формально придатні для фінального контрольного проходу; обов’язкова остання дія — оновлення полів у Microsoft Word без зміни наукового змісту.</w:t>
      </w:r>
    </w:p>
    <w:bookmarkEnd w:id="21"/>
    <w:bookmarkEnd w:id="22"/>
    <w:sectPr w:rsidR="00FC693F" w:rsidRPr="0006063C" w:rsidSect="00034616">
      <w:footerReference r:id="rId9" w:type="default"/>
      <w:pgSz w:h="16838" w:w="11906"/>
      <w:pgMar w:bottom="1134" w:footer="567" w:gutter="0" w:header="567" w:left="1701" w:right="850" w:top="1134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color w:val="000000"/>
        <w:sz w:val="28"/>
      </w:rPr>
      <w:fldChar w:fldCharType="begin"/>
      <w:instrText xml:space="preserve"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0" w:before="0" w:line="360" w:lineRule="auto"/>
      <w:ind w:firstLine="709"/>
      <w:jc w:val="both"/>
    </w:pPr>
    <w:rPr>
      <w:rFonts w:ascii="Times New Roman" w:cs="Times New Roman" w:eastAsia="Times New Roman" w:hAnsi="Times New Roman"/>
      <w:color w:val="000000"/>
      <w:sz w:val="28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  <w:rPr>
      <w:rFonts w:ascii="Times New Roman" w:cs="Times New Roman" w:eastAsia="Times New Roman" w:hAnsi="Times New Roman"/>
      <w:color w:val="000000"/>
    </w:rPr>
  </w:style>
  <w:style w:customStyle="1" w:styleId="HeaderChar" w:type="character">
    <w:name w:val="Header Char"/>
    <w:basedOn w:val="DefaultParagraphFont"/>
    <w:link w:val="Header"/>
    <w:uiPriority w:val="99"/>
    <w:rsid w:val="00E618BF"/>
    <w:rPr>
      <w:rFonts w:ascii="Times New Roman" w:cs="Times New Roman" w:eastAsia="Times New Roman" w:hAnsi="Times New Roman"/>
      <w:color w:val="000000"/>
    </w:rPr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  <w:rPr>
      <w:rFonts w:ascii="Times New Roman" w:cs="Times New Roman" w:eastAsia="Times New Roman" w:hAnsi="Times New Roman"/>
      <w:color w:val="000000"/>
    </w:rPr>
  </w:style>
  <w:style w:customStyle="1" w:styleId="FooterChar" w:type="character">
    <w:name w:val="Footer Char"/>
    <w:basedOn w:val="DefaultParagraphFont"/>
    <w:link w:val="Footer"/>
    <w:uiPriority w:val="99"/>
    <w:rsid w:val="00E618BF"/>
    <w:rPr>
      <w:rFonts w:ascii="Times New Roman" w:cs="Times New Roman" w:eastAsia="Times New Roman" w:hAnsi="Times New Roman"/>
      <w:color w:val="000000"/>
    </w:rPr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/>
      <w:spacing w:after="360" w:before="0" w:line="276" w:lineRule="auto"/>
      <w:ind w:firstLine="0"/>
      <w:jc w:val="center"/>
      <w:outlineLvl w:val="0"/>
    </w:pPr>
    <w:rPr>
      <w:rFonts w:ascii="Times New Roman" w:asciiTheme="majorHAnsi" w:cs="Times New Roman" w:cstheme="majorBidi" w:eastAsia="Times New Roman" w:eastAsiaTheme="majorEastAsia" w:hAnsi="Times New Roman" w:hAnsiTheme="majorHAnsi"/>
      <w:b/>
      <w:bCs/>
      <w:color w:val="000000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 w:line="276" w:lineRule="auto"/>
      <w:ind w:firstLine="0"/>
      <w:jc w:val="left"/>
      <w:outlineLvl w:val="1"/>
    </w:pPr>
    <w:rPr>
      <w:rFonts w:ascii="Times New Roman" w:asciiTheme="majorHAnsi" w:cs="Times New Roman" w:cstheme="majorBidi" w:eastAsia="Times New Roman" w:eastAsiaTheme="majorEastAsia" w:hAnsi="Times New Roman" w:hAnsiTheme="majorHAnsi"/>
      <w:b/>
      <w:bCs/>
      <w:color w:val="000000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00" w:line="276" w:lineRule="auto"/>
      <w:ind w:firstLine="0"/>
      <w:jc w:val="left"/>
      <w:outlineLvl w:val="2"/>
    </w:pPr>
    <w:rPr>
      <w:rFonts w:ascii="Times New Roman" w:asciiTheme="majorHAnsi" w:cs="Times New Roman" w:cstheme="majorBidi" w:eastAsia="Times New Roman" w:eastAsiaTheme="majorEastAsia" w:hAnsi="Times New Roman" w:hAnsiTheme="majorHAnsi"/>
      <w:b/>
      <w:bCs/>
      <w:color w:val="000000"/>
      <w:sz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 w:line="276" w:lineRule="auto"/>
      <w:ind w:firstLine="0"/>
      <w:jc w:val="left"/>
      <w:outlineLvl w:val="3"/>
    </w:pPr>
    <w:rPr>
      <w:rFonts w:ascii="Times New Roman" w:asciiTheme="majorHAnsi" w:cs="Times New Roman" w:cstheme="majorBidi" w:eastAsia="Times New Roman" w:eastAsiaTheme="majorEastAsia" w:hAnsi="Times New Roman" w:hAnsiTheme="majorHAnsi"/>
      <w:b/>
      <w:bCs/>
      <w:i/>
      <w:iCs/>
      <w:color w:val="000000"/>
      <w:sz w:val="28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="Times New Roman" w:asciiTheme="majorHAnsi" w:cs="Times New Roman" w:cstheme="majorBidi" w:eastAsia="Times New Roman" w:eastAsiaTheme="majorEastAsia" w:hAnsi="Times New Roman" w:hAnsiTheme="majorHAnsi"/>
      <w:color w:val="00000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="Times New Roman" w:asciiTheme="majorHAnsi" w:cs="Times New Roman" w:cstheme="majorBidi" w:eastAsia="Times New Roman" w:eastAsiaTheme="majorEastAsia" w:hAnsi="Times New Roman" w:hAnsiTheme="majorHAnsi"/>
      <w:i/>
      <w:iCs/>
      <w:color w:val="00000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="Times New Roman" w:asciiTheme="majorHAnsi" w:cs="Times New Roman" w:cstheme="majorBidi" w:eastAsia="Times New Roman" w:eastAsiaTheme="majorEastAsia" w:hAnsi="Times New Roman" w:hAnsiTheme="majorHAnsi"/>
      <w:i/>
      <w:iCs/>
      <w:color w:val="00000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="Times New Roman" w:asciiTheme="majorHAnsi" w:cs="Times New Roman" w:cstheme="majorBidi" w:eastAsia="Times New Roman" w:eastAsiaTheme="majorEastAsia" w:hAnsi="Times New Roman" w:hAnsiTheme="majorHAnsi"/>
      <w:color w:val="000000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="Times New Roman" w:asciiTheme="majorHAnsi" w:cs="Times New Roman" w:cstheme="majorBidi" w:eastAsia="Times New Roman" w:eastAsiaTheme="majorEastAsia" w:hAnsi="Times New Roman" w:hAnsiTheme="majorHAnsi"/>
      <w:i/>
      <w:iCs/>
      <w:color w:val="00000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  <w:rPr>
      <w:rFonts w:ascii="Times New Roman" w:cs="Times New Roman" w:eastAsia="Times New Roman" w:hAnsi="Times New Roman"/>
      <w:color w:val="000000"/>
    </w:rPr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  <w:rPr>
      <w:rFonts w:ascii="Times New Roman" w:cs="Times New Roman" w:eastAsia="Times New Roman" w:hAnsi="Times New Roman"/>
      <w:color w:val="000000"/>
    </w:r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="Times New Roman" w:asciiTheme="majorHAnsi" w:cs="Times New Roman" w:cstheme="majorBidi" w:eastAsia="Times New Roman" w:eastAsiaTheme="majorEastAsia" w:hAnsi="Times New Roman" w:hAnsiTheme="majorHAnsi"/>
      <w:b/>
      <w:bCs/>
      <w:color w:val="000000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="Times New Roman" w:asciiTheme="majorHAnsi" w:cs="Times New Roman" w:cstheme="majorBidi" w:eastAsia="Times New Roman" w:eastAsiaTheme="majorEastAsia" w:hAnsi="Times New Roman" w:hAnsiTheme="majorHAnsi"/>
      <w:b/>
      <w:bCs/>
      <w:color w:val="000000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="Times New Roman" w:asciiTheme="majorHAnsi" w:cs="Times New Roman" w:cstheme="majorBidi" w:eastAsia="Times New Roman" w:eastAsiaTheme="majorEastAsia" w:hAnsi="Times New Roman" w:hAnsiTheme="majorHAnsi"/>
      <w:b/>
      <w:bCs/>
      <w:color w:val="000000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spacing w:after="240" w:line="240" w:lineRule="auto"/>
      <w:ind w:firstLine="0"/>
      <w:contextualSpacing/>
      <w:jc w:val="center"/>
    </w:pPr>
    <w:rPr>
      <w:rFonts w:ascii="Times New Roman" w:asciiTheme="majorHAnsi" w:cs="Times New Roman" w:cstheme="majorBidi" w:eastAsia="Times New Roman" w:eastAsiaTheme="majorEastAsia" w:hAnsi="Times New Roman" w:hAnsiTheme="majorHAnsi"/>
      <w:b/>
      <w:color w:val="000000"/>
      <w:spacing w:val="5"/>
      <w:kern w:val="28"/>
      <w:sz w:val="28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="Times New Roman" w:asciiTheme="majorHAnsi" w:cs="Times New Roman" w:cstheme="majorBidi" w:eastAsia="Times New Roman" w:eastAsiaTheme="majorEastAsia" w:hAnsi="Times New Roman" w:hAnsiTheme="majorHAnsi"/>
      <w:color w:val="000000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Times New Roman" w:asciiTheme="majorHAnsi" w:cs="Times New Roman" w:cstheme="majorBidi" w:eastAsia="Times New Roman" w:eastAsiaTheme="majorEastAsia" w:hAnsi="Times New Roman" w:hAnsiTheme="majorHAnsi"/>
      <w:i/>
      <w:iCs/>
      <w:color w:val="000000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="Times New Roman" w:asciiTheme="majorHAnsi" w:cs="Times New Roman" w:cstheme="majorBidi" w:eastAsia="Times New Roman" w:eastAsiaTheme="majorEastAsia" w:hAnsi="Times New Roman" w:hAnsiTheme="majorHAnsi"/>
      <w:i/>
      <w:iCs/>
      <w:color w:val="000000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  <w:rPr>
      <w:rFonts w:ascii="Times New Roman" w:cs="Times New Roman" w:eastAsia="Times New Roman" w:hAnsi="Times New Roman"/>
      <w:color w:val="000000"/>
    </w:r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0" w:before="0" w:line="360" w:lineRule="auto"/>
      <w:ind w:firstLine="709"/>
      <w:jc w:val="both"/>
    </w:pPr>
    <w:rPr>
      <w:rFonts w:ascii="Times New Roman" w:cs="Times New Roman" w:eastAsia="Times New Roman" w:hAnsi="Times New Roman"/>
      <w:color w:val="000000"/>
      <w:sz w:val="28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  <w:rPr>
      <w:rFonts w:ascii="Times New Roman" w:cs="Times New Roman" w:eastAsia="Times New Roman" w:hAnsi="Times New Roman"/>
      <w:color w:val="000000"/>
    </w:rPr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Times New Roman" w:cs="Times New Roman" w:eastAsia="Times New Roman" w:hAnsi="Times New Roman"/>
      <w:color w:val="000000"/>
    </w:rPr>
  </w:style>
  <w:style w:customStyle="1" w:styleId="BodyText2Char" w:type="character">
    <w:name w:val="Body Text 2 Char"/>
    <w:basedOn w:val="DefaultParagraphFont"/>
    <w:link w:val="BodyText2"/>
    <w:uiPriority w:val="99"/>
    <w:rsid w:val="00AA1D8D"/>
    <w:rPr>
      <w:rFonts w:ascii="Times New Roman" w:cs="Times New Roman" w:eastAsia="Times New Roman" w:hAnsi="Times New Roman"/>
      <w:color w:val="000000"/>
    </w:rPr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Times New Roman" w:cs="Times New Roman" w:eastAsia="Times New Roman" w:hAnsi="Times New Roman"/>
      <w:color w:val="000000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ascii="Times New Roman" w:cs="Times New Roman" w:eastAsia="Times New Roman" w:hAnsi="Times New Roman"/>
      <w:color w:val="000000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  <w:rPr>
      <w:rFonts w:ascii="Times New Roman" w:cs="Times New Roman" w:eastAsia="Times New Roman" w:hAnsi="Times New Roman"/>
      <w:color w:val="000000"/>
    </w:r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  <w:rPr>
      <w:rFonts w:ascii="Times New Roman" w:cs="Times New Roman" w:eastAsia="Times New Roman" w:hAnsi="Times New Roman"/>
      <w:color w:val="000000"/>
    </w:r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  <w:rPr>
      <w:rFonts w:ascii="Times New Roman" w:cs="Times New Roman" w:eastAsia="Times New Roman" w:hAnsi="Times New Roman"/>
      <w:color w:val="000000"/>
    </w:r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imes New Roman" w:cs="Times New Roman" w:eastAsia="Times New Roman" w:hAnsi="Times New Roman"/>
      <w:color w:val="000000"/>
    </w:r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Times New Roman" w:cs="Times New Roman" w:eastAsia="Times New Roman" w:hAnsi="Times New Roman"/>
      <w:color w:val="000000"/>
    </w:r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Times New Roman" w:cs="Times New Roman" w:eastAsia="Times New Roman" w:hAnsi="Times New Roman"/>
      <w:color w:val="000000"/>
    </w:r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Times New Roman" w:cs="Times New Roman" w:eastAsia="Times New Roman" w:hAnsi="Times New Roman"/>
      <w:color w:val="000000"/>
    </w:r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Times New Roman" w:cs="Times New Roman" w:eastAsia="Times New Roman" w:hAnsi="Times New Roman"/>
      <w:color w:val="000000"/>
    </w:r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Times New Roman" w:cs="Times New Roman" w:eastAsia="Times New Roman" w:hAnsi="Times New Roman"/>
      <w:color w:val="000000"/>
    </w:r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Times New Roman" w:cs="Times New Roman" w:eastAsia="Times New Roman" w:hAnsi="Times New Roman"/>
      <w:color w:val="000000"/>
    </w:r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Times New Roman" w:cs="Times New Roman" w:eastAsia="Times New Roman" w:hAnsi="Times New Roman"/>
      <w:color w:val="000000"/>
    </w:r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Times New Roman" w:cs="Times New Roman" w:eastAsia="Times New Roman" w:hAnsi="Times New Roman"/>
      <w:color w:val="000000"/>
    </w:r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Times New Roman" w:cs="Times New Roman" w:eastAsia="Times New Roman" w:hAnsi="Times New Roman"/>
      <w:color w:val="000000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Times New Roman" w:cs="Times New Roman" w:eastAsia="Times New Roman" w:hAnsi="Times New Roman"/>
      <w:color w:val="000000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rFonts w:ascii="Times New Roman" w:cs="Times New Roman" w:eastAsia="Times New Roman" w:hAnsi="Times New Roman"/>
      <w:i/>
      <w:iCs/>
      <w:color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ascii="Times New Roman" w:cs="Times New Roman" w:eastAsia="Times New Roman" w:hAnsi="Times New Roman"/>
      <w:i/>
      <w:iCs/>
      <w:color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="Times New Roman" w:asciiTheme="majorHAnsi" w:cs="Times New Roman" w:cstheme="majorBidi" w:eastAsia="Times New Roman" w:eastAsiaTheme="majorEastAsia" w:hAnsi="Times New Roman" w:hAnsiTheme="majorHAnsi"/>
      <w:b/>
      <w:bCs/>
      <w:i/>
      <w:iCs/>
      <w:color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="Times New Roman" w:asciiTheme="majorHAnsi" w:cs="Times New Roman" w:cstheme="majorBidi" w:eastAsia="Times New Roman" w:eastAsiaTheme="majorEastAsia" w:hAnsi="Times New Roman" w:hAnsiTheme="majorHAnsi"/>
      <w:color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="Times New Roman" w:asciiTheme="majorHAnsi" w:cs="Times New Roman" w:cstheme="majorBidi" w:eastAsia="Times New Roman" w:eastAsiaTheme="majorEastAsia" w:hAnsi="Times New Roman" w:hAnsiTheme="majorHAnsi"/>
      <w:i/>
      <w:iCs/>
      <w:color w:val="00000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="Times New Roman" w:asciiTheme="majorHAnsi" w:cs="Times New Roman" w:cstheme="majorBidi" w:eastAsia="Times New Roman" w:eastAsiaTheme="majorEastAsia" w:hAnsi="Times New Roman" w:hAnsiTheme="majorHAnsi"/>
      <w:i/>
      <w:iCs/>
      <w:color w:val="00000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="Times New Roman" w:asciiTheme="majorHAnsi" w:cs="Times New Roman" w:cstheme="majorBidi" w:eastAsia="Times New Roman" w:eastAsiaTheme="majorEastAsia" w:hAnsi="Times New Roman" w:hAnsiTheme="majorHAnsi"/>
      <w:color w:val="000000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="Times New Roman" w:asciiTheme="majorHAnsi" w:cs="Times New Roman" w:cstheme="majorBidi" w:eastAsia="Times New Roman" w:eastAsiaTheme="majorEastAsia" w:hAnsi="Times New Roman" w:hAnsiTheme="majorHAnsi"/>
      <w:i/>
      <w:iCs/>
      <w:color w:val="00000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120" w:before="60" w:line="240" w:lineRule="auto"/>
      <w:ind w:firstLine="0"/>
      <w:jc w:val="center"/>
    </w:pPr>
    <w:rPr>
      <w:rFonts w:ascii="Times New Roman" w:cs="Times New Roman" w:eastAsia="Times New Roman" w:hAnsi="Times New Roman"/>
      <w:b w:val="0"/>
      <w:bCs/>
      <w:color w:val="000000"/>
      <w:sz w:val="24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ascii="Times New Roman" w:cs="Times New Roman" w:eastAsia="Times New Roman" w:hAnsi="Times New Roman"/>
      <w:b/>
      <w:bCs/>
      <w:color w:val="000000"/>
    </w:rPr>
  </w:style>
  <w:style w:styleId="Emphasis" w:type="character">
    <w:name w:val="Emphasis"/>
    <w:basedOn w:val="DefaultParagraphFont"/>
    <w:uiPriority w:val="20"/>
    <w:qFormat/>
    <w:rsid w:val="00FC693F"/>
    <w:rPr>
      <w:rFonts w:ascii="Times New Roman" w:cs="Times New Roman" w:eastAsia="Times New Roman" w:hAnsi="Times New Roman"/>
      <w:i/>
      <w:iCs/>
      <w:color w:val="000000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spacing w:after="280" w:before="200"/>
      <w:ind w:left="936" w:right="936"/>
    </w:pPr>
    <w:rPr>
      <w:rFonts w:ascii="Times New Roman" w:cs="Times New Roman" w:eastAsia="Times New Roman" w:hAnsi="Times New Roman"/>
      <w:b/>
      <w:bCs/>
      <w:i/>
      <w:iCs/>
      <w:color w:val="000000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ascii="Times New Roman" w:cs="Times New Roman" w:eastAsia="Times New Roman" w:hAnsi="Times New Roman"/>
      <w:b/>
      <w:bCs/>
      <w:i/>
      <w:iCs/>
      <w:color w:val="000000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ascii="Times New Roman" w:cs="Times New Roman" w:eastAsia="Times New Roman" w:hAnsi="Times New Roman"/>
      <w:i/>
      <w:iCs/>
      <w:color w:val="00000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ascii="Times New Roman" w:cs="Times New Roman" w:eastAsia="Times New Roman" w:hAnsi="Times New Roman"/>
      <w:b/>
      <w:bCs/>
      <w:i/>
      <w:iCs/>
      <w:color w:val="000000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ascii="Times New Roman" w:cs="Times New Roman" w:eastAsia="Times New Roman" w:hAnsi="Times New Roman"/>
      <w:smallCaps/>
      <w:color w:val="000000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ascii="Times New Roman" w:cs="Times New Roman" w:eastAsia="Times New Roman" w:hAnsi="Times New Roman"/>
      <w:b/>
      <w:bCs/>
      <w:smallCaps/>
      <w:color w:val="000000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ascii="Times New Roman" w:cs="Times New Roman" w:eastAsia="Times New Roman" w:hAnsi="Times New Roman"/>
      <w:b/>
      <w:bCs/>
      <w:smallCaps/>
      <w:color w:val="000000"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Times New Roman" w:cs="Times New Roman" w:eastAsia="Times New Roman" w:hAnsi="Times New Roman"/>
      <w:color w:val="000000"/>
    </w:r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pPr>
      <w:spacing w:after="0" w:before="0" w:line="360" w:lineRule="auto"/>
      <w:ind w:firstLine="709"/>
      <w:jc w:val="both"/>
    </w:pPr>
    <w:rPr>
      <w:rFonts w:ascii="Times New Roman" w:cs="Times New Roman" w:eastAsia="Times New Roman" w:hAnsi="Times New Roman"/>
      <w:color w:val="000000"/>
      <w:sz w:val="28"/>
    </w:rPr>
  </w:style>
  <w:style w:customStyle="1" w:styleId="BlockText" w:type="paragraph">
    <w:name w:val="Block Text"/>
    <w:pPr>
      <w:spacing w:after="0" w:before="0" w:line="360" w:lineRule="auto"/>
      <w:ind w:firstLine="709"/>
      <w:jc w:val="both"/>
    </w:pPr>
    <w:rPr>
      <w:rFonts w:ascii="Times New Roman" w:cs="Times New Roman" w:eastAsia="Times New Roman" w:hAnsi="Times New Roman"/>
      <w:color w:val="000000"/>
      <w:sz w:val="28"/>
    </w:rPr>
  </w:style>
  <w:style w:customStyle="1" w:styleId="Compact" w:type="paragraph">
    <w:name w:val="Compact"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color w:val="000000"/>
      <w:sz w:val="21"/>
    </w:rPr>
  </w:style>
  <w:style w:customStyle="1" w:styleId="Table" w:type="table">
    <w:name w:val="Table"/>
    <w:rPr>
      <w:rFonts w:ascii="Times New Roman" w:cs="Times New Roman" w:eastAsia="Times New Roman" w:hAnsi="Times New Roman"/>
      <w:color w:val="000000"/>
      <w:sz w:val="21"/>
    </w:rPr>
  </w:style>
  <w:style w:customStyle="1" w:styleId="Bibliography" w:type="paragraph">
    <w:name w:val="Bibliography"/>
    <w:pPr>
      <w:spacing w:after="60" w:before="0" w:line="240" w:lineRule="auto"/>
      <w:ind w:firstLine="0" w:left="0"/>
    </w:pPr>
    <w:rPr>
      <w:rFonts w:ascii="Times New Roman" w:cs="Times New Roman" w:eastAsia="Times New Roman" w:hAnsi="Times New Roman"/>
      <w:color w:val="000000"/>
      <w:sz w:val="24"/>
    </w:rPr>
  </w:style>
  <w:style w:customStyle="1" w:styleId="Hyperlink" w:type="character">
    <w:name w:val="Hyperlink"/>
    <w:rPr>
      <w:rFonts w:ascii="Times New Roman" w:cs="Times New Roman" w:eastAsia="Times New Roman" w:hAnsi="Times New Roman"/>
      <w:color w:val="000000"/>
      <w:u w:val="none"/>
    </w:rPr>
  </w:style>
  <w:style w:customStyle="1" w:styleId="FollowedHyperlink" w:type="character">
    <w:name w:val="Followed Hyperlink"/>
    <w:rPr>
      <w:rFonts w:ascii="Times New Roman" w:cs="Times New Roman" w:eastAsia="Times New Roman" w:hAnsi="Times New Roman"/>
      <w:color w:val="000000"/>
      <w:u w:val="none"/>
    </w:rPr>
  </w:style>
  <w:style w:customStyle="1" w:styleId="SectionNumber" w:type="character">
    <w:name w:val="Section Number"/>
    <w:rPr>
      <w:rFonts w:ascii="Times New Roman" w:cs="Times New Roman" w:eastAsia="Times New Roman" w:hAnsi="Times New Roman"/>
      <w:color w:val="000000"/>
    </w:rPr>
  </w:style>
  <w:style w:customStyle="1" w:styleId="VerbatimChar" w:type="character">
    <w:name w:val="Verbatim Char"/>
    <w:rPr>
      <w:rFonts w:ascii="Times New Roman" w:cs="Times New Roman" w:eastAsia="Times New Roman" w:hAnsi="Times New Roman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2026-08-23T16:09:09Z</dcterms:created>
  <dcterms:modified xsi:type="dcterms:W3CDTF">2026-08-23T16:09:09Z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