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5071" w14:textId="6C02325E" w:rsidR="00C40B16" w:rsidRDefault="00C40B16" w:rsidP="00C40B16">
      <w:pPr>
        <w:jc w:val="center"/>
        <w:rPr>
          <w:rFonts w:ascii="Times New Roman" w:hAnsi="Times New Roman" w:cs="Times New Roman"/>
          <w:b/>
          <w:bCs/>
          <w:sz w:val="28"/>
          <w:szCs w:val="28"/>
        </w:rPr>
      </w:pPr>
      <w:r w:rsidRPr="00C40B16">
        <w:rPr>
          <w:rFonts w:ascii="Times New Roman" w:hAnsi="Times New Roman" w:cs="Times New Roman"/>
          <w:b/>
          <w:bCs/>
          <w:sz w:val="28"/>
          <w:szCs w:val="28"/>
        </w:rPr>
        <w:t>Розділ 15. Класифікація інформаційної системи як артефакту програмної інженерії</w:t>
      </w:r>
    </w:p>
    <w:p w14:paraId="17084575" w14:textId="77777777" w:rsidR="00C40B16" w:rsidRDefault="00C40B16" w:rsidP="00C40B16">
      <w:pPr>
        <w:jc w:val="center"/>
        <w:rPr>
          <w:rFonts w:ascii="Times New Roman" w:hAnsi="Times New Roman" w:cs="Times New Roman"/>
          <w:b/>
          <w:bCs/>
          <w:sz w:val="28"/>
          <w:szCs w:val="28"/>
        </w:rPr>
      </w:pPr>
    </w:p>
    <w:p w14:paraId="64D83DD0" w14:textId="77777777" w:rsidR="00C40B16" w:rsidRPr="00C40B16" w:rsidRDefault="00C40B16" w:rsidP="00C40B16">
      <w:pPr>
        <w:spacing w:line="360" w:lineRule="auto"/>
        <w:ind w:firstLine="709"/>
        <w:contextualSpacing/>
        <w:jc w:val="both"/>
        <w:rPr>
          <w:rFonts w:ascii="Times New Roman" w:hAnsi="Times New Roman" w:cs="Times New Roman"/>
          <w:sz w:val="28"/>
          <w:szCs w:val="28"/>
        </w:rPr>
      </w:pPr>
      <w:r w:rsidRPr="00C40B16">
        <w:rPr>
          <w:rFonts w:ascii="Times New Roman" w:hAnsi="Times New Roman" w:cs="Times New Roman"/>
          <w:sz w:val="28"/>
          <w:szCs w:val="28"/>
        </w:rPr>
        <w:t>Будь-який результат інженерної діяльності може бути розглянутий не лише як функціональний об’єкт, але і як артефакт процесу розробки. У програмній інженерії поняття артефакту має особливе значення. Воно охоплює всі матеріальні та нематеріальні результати роботи команди: специфікації, моделі, діаграми, архітектурні рішення, прототипи, документацію.</w:t>
      </w:r>
    </w:p>
    <w:p w14:paraId="56C83CDD" w14:textId="77777777" w:rsidR="00C40B16" w:rsidRPr="00C40B16" w:rsidRDefault="00C40B16" w:rsidP="00C40B16">
      <w:pPr>
        <w:spacing w:line="360" w:lineRule="auto"/>
        <w:ind w:firstLine="709"/>
        <w:contextualSpacing/>
        <w:jc w:val="both"/>
        <w:rPr>
          <w:rFonts w:ascii="Times New Roman" w:hAnsi="Times New Roman" w:cs="Times New Roman"/>
          <w:sz w:val="28"/>
          <w:szCs w:val="28"/>
        </w:rPr>
      </w:pPr>
      <w:r w:rsidRPr="00C40B16">
        <w:rPr>
          <w:rFonts w:ascii="Times New Roman" w:hAnsi="Times New Roman" w:cs="Times New Roman"/>
          <w:sz w:val="28"/>
          <w:szCs w:val="28"/>
        </w:rPr>
        <w:t>Інформаційна система управління онлайн-курсом, що розглядається у межах даної роботи, не є реалізованим програмним продуктом у вигляді коду. Вона представлена як комплексна проєктна модель, що включає сформовані вимоги, функціональні сценарії, архітектурну структуру, модель даних, аналіз безпеки, масштабування та перспектив розвитку. Саме тому постає питання її класифікації у межах життєвого циклу програмного забезпечення.</w:t>
      </w:r>
    </w:p>
    <w:p w14:paraId="5AD3BE21" w14:textId="1BD8A875" w:rsidR="00C40B16" w:rsidRPr="00C40B16" w:rsidRDefault="00C40B16" w:rsidP="00C40B16">
      <w:pPr>
        <w:spacing w:line="360" w:lineRule="auto"/>
        <w:ind w:firstLine="709"/>
        <w:contextualSpacing/>
        <w:jc w:val="both"/>
        <w:rPr>
          <w:rFonts w:ascii="Times New Roman" w:hAnsi="Times New Roman" w:cs="Times New Roman"/>
          <w:sz w:val="28"/>
          <w:szCs w:val="28"/>
        </w:rPr>
      </w:pPr>
      <w:r w:rsidRPr="00C40B16">
        <w:rPr>
          <w:rFonts w:ascii="Times New Roman" w:hAnsi="Times New Roman" w:cs="Times New Roman"/>
          <w:sz w:val="28"/>
          <w:szCs w:val="28"/>
        </w:rPr>
        <w:t xml:space="preserve">Артефакти можуть бути різного рівня деталізації. Одні відображають бачення системи, інші </w:t>
      </w:r>
      <w:r>
        <w:rPr>
          <w:rFonts w:ascii="Times New Roman" w:hAnsi="Times New Roman" w:cs="Times New Roman"/>
          <w:sz w:val="28"/>
          <w:szCs w:val="28"/>
        </w:rPr>
        <w:t>–</w:t>
      </w:r>
      <w:r w:rsidRPr="00C40B16">
        <w:rPr>
          <w:rFonts w:ascii="Times New Roman" w:hAnsi="Times New Roman" w:cs="Times New Roman"/>
          <w:sz w:val="28"/>
          <w:szCs w:val="28"/>
        </w:rPr>
        <w:t xml:space="preserve"> її структуру, треті </w:t>
      </w:r>
      <w:r>
        <w:rPr>
          <w:rFonts w:ascii="Times New Roman" w:hAnsi="Times New Roman" w:cs="Times New Roman"/>
          <w:sz w:val="28"/>
          <w:szCs w:val="28"/>
        </w:rPr>
        <w:t>–</w:t>
      </w:r>
      <w:r w:rsidRPr="00C40B16">
        <w:rPr>
          <w:rFonts w:ascii="Times New Roman" w:hAnsi="Times New Roman" w:cs="Times New Roman"/>
          <w:sz w:val="28"/>
          <w:szCs w:val="28"/>
        </w:rPr>
        <w:t xml:space="preserve"> конкретні механізми реалізації. У межах виконаної роботи було сформовано декілька типів артефактів, що відносяться до різних етапів життєвого циклу.</w:t>
      </w:r>
    </w:p>
    <w:p w14:paraId="0831DBA6" w14:textId="77777777" w:rsidR="00C40B16" w:rsidRPr="00C40B16" w:rsidRDefault="00C40B16" w:rsidP="00C40B16">
      <w:pPr>
        <w:spacing w:line="360" w:lineRule="auto"/>
        <w:ind w:firstLine="709"/>
        <w:contextualSpacing/>
        <w:jc w:val="both"/>
        <w:rPr>
          <w:rFonts w:ascii="Times New Roman" w:hAnsi="Times New Roman" w:cs="Times New Roman"/>
          <w:sz w:val="28"/>
          <w:szCs w:val="28"/>
        </w:rPr>
      </w:pPr>
      <w:r w:rsidRPr="00C40B16">
        <w:rPr>
          <w:rFonts w:ascii="Times New Roman" w:hAnsi="Times New Roman" w:cs="Times New Roman"/>
          <w:sz w:val="28"/>
          <w:szCs w:val="28"/>
        </w:rPr>
        <w:t>Початковим етапом стала формалізація вимог. Аналіз зацікавлених сторін, визначення ролей користувачів, формування функціональних сценаріїв — усе це створило поведінковий артефакт, який описує взаємодію системи з її користувачами. Цей рівень відповідає етапу специфікації та концептуального моделювання.</w:t>
      </w:r>
    </w:p>
    <w:p w14:paraId="7BC412BE" w14:textId="4458662B" w:rsidR="00C40B16" w:rsidRPr="00C40B16" w:rsidRDefault="00C40B16" w:rsidP="00C40B16">
      <w:pPr>
        <w:spacing w:line="360" w:lineRule="auto"/>
        <w:ind w:firstLine="709"/>
        <w:contextualSpacing/>
        <w:jc w:val="both"/>
        <w:rPr>
          <w:rFonts w:ascii="Times New Roman" w:hAnsi="Times New Roman" w:cs="Times New Roman"/>
          <w:sz w:val="28"/>
          <w:szCs w:val="28"/>
        </w:rPr>
      </w:pPr>
      <w:r w:rsidRPr="00C40B16">
        <w:rPr>
          <w:rFonts w:ascii="Times New Roman" w:hAnsi="Times New Roman" w:cs="Times New Roman"/>
          <w:sz w:val="28"/>
          <w:szCs w:val="28"/>
        </w:rPr>
        <w:t xml:space="preserve">Наступним кроком було формування архітектурної структури. Трирівнева модель, розподіл на клієнтський, прикладний та рівень даних, визначення модулів і взаємозв’язків </w:t>
      </w:r>
      <w:r>
        <w:rPr>
          <w:rFonts w:ascii="Times New Roman" w:hAnsi="Times New Roman" w:cs="Times New Roman"/>
          <w:sz w:val="28"/>
          <w:szCs w:val="28"/>
        </w:rPr>
        <w:t>–</w:t>
      </w:r>
      <w:r w:rsidRPr="00C40B16">
        <w:rPr>
          <w:rFonts w:ascii="Times New Roman" w:hAnsi="Times New Roman" w:cs="Times New Roman"/>
          <w:sz w:val="28"/>
          <w:szCs w:val="28"/>
        </w:rPr>
        <w:t xml:space="preserve"> це вже архітектурний артефакт. Він не містить реалізації, проте задає рамки майбутньої програмної системи.</w:t>
      </w:r>
    </w:p>
    <w:p w14:paraId="2C100001" w14:textId="77777777" w:rsidR="00C40B16" w:rsidRPr="00C40B16" w:rsidRDefault="00C40B16" w:rsidP="00C40B16">
      <w:pPr>
        <w:spacing w:line="360" w:lineRule="auto"/>
        <w:ind w:firstLine="709"/>
        <w:contextualSpacing/>
        <w:jc w:val="both"/>
        <w:rPr>
          <w:rFonts w:ascii="Times New Roman" w:hAnsi="Times New Roman" w:cs="Times New Roman"/>
          <w:sz w:val="28"/>
          <w:szCs w:val="28"/>
        </w:rPr>
      </w:pPr>
      <w:r w:rsidRPr="00C40B16">
        <w:rPr>
          <w:rFonts w:ascii="Times New Roman" w:hAnsi="Times New Roman" w:cs="Times New Roman"/>
          <w:sz w:val="28"/>
          <w:szCs w:val="28"/>
        </w:rPr>
        <w:t>Окреме місце посідає модель даних. ER-діаграма відображає структуру сутностей, атрибутів і зв’язків між ними. Вона виступає формалізованим представленням інформаційної складової системи. Такий елемент є класичним структурним артефактом, що належить до етапу логічного проєктування.</w:t>
      </w:r>
    </w:p>
    <w:p w14:paraId="7CDCFF4D" w14:textId="40243602" w:rsidR="00C40B16" w:rsidRPr="00C40B16" w:rsidRDefault="00C40B16" w:rsidP="00C40B16">
      <w:pPr>
        <w:spacing w:line="360" w:lineRule="auto"/>
        <w:ind w:firstLine="709"/>
        <w:contextualSpacing/>
        <w:jc w:val="both"/>
        <w:rPr>
          <w:rFonts w:ascii="Times New Roman" w:hAnsi="Times New Roman" w:cs="Times New Roman"/>
          <w:sz w:val="28"/>
          <w:szCs w:val="28"/>
        </w:rPr>
      </w:pPr>
      <w:r w:rsidRPr="00C40B16">
        <w:rPr>
          <w:rFonts w:ascii="Times New Roman" w:hAnsi="Times New Roman" w:cs="Times New Roman"/>
          <w:sz w:val="28"/>
          <w:szCs w:val="28"/>
        </w:rPr>
        <w:lastRenderedPageBreak/>
        <w:t xml:space="preserve">Розгляд операційних циклів, масштабування та безпеки формує ще один тип артефактів </w:t>
      </w:r>
      <w:r>
        <w:rPr>
          <w:rFonts w:ascii="Times New Roman" w:hAnsi="Times New Roman" w:cs="Times New Roman"/>
          <w:sz w:val="28"/>
          <w:szCs w:val="28"/>
        </w:rPr>
        <w:t>–</w:t>
      </w:r>
      <w:r w:rsidRPr="00C40B16">
        <w:rPr>
          <w:rFonts w:ascii="Times New Roman" w:hAnsi="Times New Roman" w:cs="Times New Roman"/>
          <w:sz w:val="28"/>
          <w:szCs w:val="28"/>
        </w:rPr>
        <w:t xml:space="preserve"> аналітико-проєктні. Вони демонструють, як система функціонуватиме у динаміці, як реагуватиме на навантаження, як забезпечуватиме захист даних. Це рівень системного осмислення, що виходить за межі окремих модулів.</w:t>
      </w:r>
    </w:p>
    <w:p w14:paraId="453B1E1D" w14:textId="77777777" w:rsidR="00C40B16" w:rsidRPr="00C40B16" w:rsidRDefault="00C40B16" w:rsidP="00C40B16">
      <w:pPr>
        <w:spacing w:line="360" w:lineRule="auto"/>
        <w:ind w:firstLine="709"/>
        <w:contextualSpacing/>
        <w:jc w:val="both"/>
        <w:rPr>
          <w:rFonts w:ascii="Times New Roman" w:hAnsi="Times New Roman" w:cs="Times New Roman"/>
          <w:sz w:val="28"/>
          <w:szCs w:val="28"/>
        </w:rPr>
      </w:pPr>
      <w:r w:rsidRPr="00C40B16">
        <w:rPr>
          <w:rFonts w:ascii="Times New Roman" w:hAnsi="Times New Roman" w:cs="Times New Roman"/>
          <w:sz w:val="28"/>
          <w:szCs w:val="28"/>
        </w:rPr>
        <w:t>Таким чином, створена в межах роботи модель не може бути віднесена лише до одного типу артефакту. Вона має комплексний характер. Вона поєднує концептуальний, архітектурний та структурний рівні. Саме це дозволяє розглядати її як інтегрований проєктний артефакт.</w:t>
      </w:r>
    </w:p>
    <w:p w14:paraId="07FF232B" w14:textId="77777777" w:rsidR="00C40B16" w:rsidRDefault="00C40B16" w:rsidP="00C40B16">
      <w:pPr>
        <w:spacing w:line="360" w:lineRule="auto"/>
        <w:ind w:firstLine="709"/>
        <w:contextualSpacing/>
        <w:jc w:val="both"/>
        <w:rPr>
          <w:rFonts w:ascii="Times New Roman" w:hAnsi="Times New Roman" w:cs="Times New Roman"/>
          <w:sz w:val="28"/>
          <w:szCs w:val="28"/>
        </w:rPr>
      </w:pPr>
      <w:r w:rsidRPr="00C40B16">
        <w:rPr>
          <w:rFonts w:ascii="Times New Roman" w:hAnsi="Times New Roman" w:cs="Times New Roman"/>
          <w:sz w:val="28"/>
          <w:szCs w:val="28"/>
        </w:rPr>
        <w:t>Для систематизації створених елементів наведено таблицю 15.1.</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364"/>
        <w:gridCol w:w="3751"/>
        <w:gridCol w:w="2514"/>
      </w:tblGrid>
      <w:tr w:rsidR="00C40B16" w:rsidRPr="00C40B16" w14:paraId="44EBC964" w14:textId="77777777" w:rsidTr="00C40B16">
        <w:trPr>
          <w:tblHeader/>
          <w:tblCellSpacing w:w="15" w:type="dxa"/>
        </w:trPr>
        <w:tc>
          <w:tcPr>
            <w:tcW w:w="0" w:type="auto"/>
            <w:tcBorders>
              <w:right w:val="single" w:sz="4" w:space="0" w:color="auto"/>
            </w:tcBorders>
            <w:vAlign w:val="center"/>
            <w:hideMark/>
          </w:tcPr>
          <w:p w14:paraId="206EC4D8"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Створений елемент проєкту</w:t>
            </w:r>
          </w:p>
        </w:tc>
        <w:tc>
          <w:tcPr>
            <w:tcW w:w="0" w:type="auto"/>
            <w:tcBorders>
              <w:right w:val="single" w:sz="4" w:space="0" w:color="auto"/>
            </w:tcBorders>
            <w:vAlign w:val="center"/>
            <w:hideMark/>
          </w:tcPr>
          <w:p w14:paraId="548256BA"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Тип артефакту</w:t>
            </w:r>
          </w:p>
        </w:tc>
        <w:tc>
          <w:tcPr>
            <w:tcW w:w="0" w:type="auto"/>
            <w:vAlign w:val="center"/>
            <w:hideMark/>
          </w:tcPr>
          <w:p w14:paraId="2746099E"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Етап життєвого циклу</w:t>
            </w:r>
          </w:p>
        </w:tc>
      </w:tr>
      <w:tr w:rsidR="00C40B16" w:rsidRPr="00C40B16" w14:paraId="26429F7B" w14:textId="77777777" w:rsidTr="00C40B16">
        <w:trPr>
          <w:tblCellSpacing w:w="15" w:type="dxa"/>
        </w:trPr>
        <w:tc>
          <w:tcPr>
            <w:tcW w:w="0" w:type="auto"/>
            <w:tcBorders>
              <w:top w:val="single" w:sz="4" w:space="0" w:color="auto"/>
              <w:bottom w:val="single" w:sz="4" w:space="0" w:color="auto"/>
              <w:right w:val="single" w:sz="4" w:space="0" w:color="auto"/>
            </w:tcBorders>
            <w:vAlign w:val="center"/>
            <w:hideMark/>
          </w:tcPr>
          <w:p w14:paraId="2499D6C0"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Аналіз вимог та визначення користувачів</w:t>
            </w:r>
          </w:p>
        </w:tc>
        <w:tc>
          <w:tcPr>
            <w:tcW w:w="0" w:type="auto"/>
            <w:tcBorders>
              <w:top w:val="single" w:sz="4" w:space="0" w:color="auto"/>
              <w:bottom w:val="single" w:sz="4" w:space="0" w:color="auto"/>
              <w:right w:val="single" w:sz="4" w:space="0" w:color="auto"/>
            </w:tcBorders>
            <w:vAlign w:val="center"/>
            <w:hideMark/>
          </w:tcPr>
          <w:p w14:paraId="3CD039EC"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Поведінковий артефакт (специфікація вимог)</w:t>
            </w:r>
          </w:p>
        </w:tc>
        <w:tc>
          <w:tcPr>
            <w:tcW w:w="0" w:type="auto"/>
            <w:tcBorders>
              <w:top w:val="single" w:sz="4" w:space="0" w:color="auto"/>
              <w:bottom w:val="single" w:sz="4" w:space="0" w:color="auto"/>
            </w:tcBorders>
            <w:vAlign w:val="center"/>
            <w:hideMark/>
          </w:tcPr>
          <w:p w14:paraId="1B4AF917"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Аналіз</w:t>
            </w:r>
          </w:p>
        </w:tc>
      </w:tr>
      <w:tr w:rsidR="00C40B16" w:rsidRPr="00C40B16" w14:paraId="011492A0" w14:textId="77777777" w:rsidTr="00C40B16">
        <w:trPr>
          <w:tblCellSpacing w:w="15" w:type="dxa"/>
        </w:trPr>
        <w:tc>
          <w:tcPr>
            <w:tcW w:w="0" w:type="auto"/>
            <w:tcBorders>
              <w:right w:val="single" w:sz="4" w:space="0" w:color="auto"/>
            </w:tcBorders>
            <w:vAlign w:val="center"/>
            <w:hideMark/>
          </w:tcPr>
          <w:p w14:paraId="64ECE708"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Use Case-діаграма</w:t>
            </w:r>
          </w:p>
        </w:tc>
        <w:tc>
          <w:tcPr>
            <w:tcW w:w="0" w:type="auto"/>
            <w:tcBorders>
              <w:right w:val="single" w:sz="4" w:space="0" w:color="auto"/>
            </w:tcBorders>
            <w:vAlign w:val="center"/>
            <w:hideMark/>
          </w:tcPr>
          <w:p w14:paraId="6F680455"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Поведінкова модель системи</w:t>
            </w:r>
          </w:p>
        </w:tc>
        <w:tc>
          <w:tcPr>
            <w:tcW w:w="0" w:type="auto"/>
            <w:vAlign w:val="center"/>
            <w:hideMark/>
          </w:tcPr>
          <w:p w14:paraId="047B1656"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Проєктування</w:t>
            </w:r>
          </w:p>
        </w:tc>
      </w:tr>
      <w:tr w:rsidR="00C40B16" w:rsidRPr="00C40B16" w14:paraId="45196EB2" w14:textId="77777777" w:rsidTr="00C40B16">
        <w:trPr>
          <w:tblCellSpacing w:w="15" w:type="dxa"/>
        </w:trPr>
        <w:tc>
          <w:tcPr>
            <w:tcW w:w="0" w:type="auto"/>
            <w:tcBorders>
              <w:top w:val="single" w:sz="4" w:space="0" w:color="auto"/>
              <w:right w:val="single" w:sz="4" w:space="0" w:color="auto"/>
            </w:tcBorders>
            <w:vAlign w:val="center"/>
            <w:hideMark/>
          </w:tcPr>
          <w:p w14:paraId="0D49AC24"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Архітектурна схема</w:t>
            </w:r>
          </w:p>
        </w:tc>
        <w:tc>
          <w:tcPr>
            <w:tcW w:w="0" w:type="auto"/>
            <w:tcBorders>
              <w:top w:val="single" w:sz="4" w:space="0" w:color="auto"/>
              <w:right w:val="single" w:sz="4" w:space="0" w:color="auto"/>
            </w:tcBorders>
            <w:vAlign w:val="center"/>
            <w:hideMark/>
          </w:tcPr>
          <w:p w14:paraId="5E5D9467"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Архітектурний артефакт</w:t>
            </w:r>
          </w:p>
        </w:tc>
        <w:tc>
          <w:tcPr>
            <w:tcW w:w="0" w:type="auto"/>
            <w:tcBorders>
              <w:top w:val="single" w:sz="4" w:space="0" w:color="auto"/>
            </w:tcBorders>
            <w:vAlign w:val="center"/>
            <w:hideMark/>
          </w:tcPr>
          <w:p w14:paraId="47132905"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Архітектурне проєктування</w:t>
            </w:r>
          </w:p>
        </w:tc>
      </w:tr>
      <w:tr w:rsidR="00C40B16" w:rsidRPr="00C40B16" w14:paraId="31471C56" w14:textId="77777777" w:rsidTr="00C40B16">
        <w:trPr>
          <w:tblCellSpacing w:w="15" w:type="dxa"/>
        </w:trPr>
        <w:tc>
          <w:tcPr>
            <w:tcW w:w="0" w:type="auto"/>
            <w:tcBorders>
              <w:top w:val="single" w:sz="4" w:space="0" w:color="auto"/>
              <w:bottom w:val="single" w:sz="4" w:space="0" w:color="auto"/>
              <w:right w:val="single" w:sz="4" w:space="0" w:color="auto"/>
            </w:tcBorders>
            <w:vAlign w:val="center"/>
            <w:hideMark/>
          </w:tcPr>
          <w:p w14:paraId="7BB8803F"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ER-діаграма</w:t>
            </w:r>
          </w:p>
        </w:tc>
        <w:tc>
          <w:tcPr>
            <w:tcW w:w="0" w:type="auto"/>
            <w:tcBorders>
              <w:top w:val="single" w:sz="4" w:space="0" w:color="auto"/>
              <w:bottom w:val="single" w:sz="4" w:space="0" w:color="auto"/>
              <w:right w:val="single" w:sz="4" w:space="0" w:color="auto"/>
            </w:tcBorders>
            <w:vAlign w:val="center"/>
            <w:hideMark/>
          </w:tcPr>
          <w:p w14:paraId="701CEC11"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Структурний артефакт (модель даних)</w:t>
            </w:r>
          </w:p>
        </w:tc>
        <w:tc>
          <w:tcPr>
            <w:tcW w:w="0" w:type="auto"/>
            <w:tcBorders>
              <w:top w:val="single" w:sz="4" w:space="0" w:color="auto"/>
              <w:bottom w:val="single" w:sz="4" w:space="0" w:color="auto"/>
            </w:tcBorders>
            <w:vAlign w:val="center"/>
            <w:hideMark/>
          </w:tcPr>
          <w:p w14:paraId="209939B2"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Логічне проєктування</w:t>
            </w:r>
          </w:p>
        </w:tc>
      </w:tr>
      <w:tr w:rsidR="00C40B16" w:rsidRPr="00C40B16" w14:paraId="07AED084" w14:textId="77777777" w:rsidTr="00C40B16">
        <w:trPr>
          <w:tblCellSpacing w:w="15" w:type="dxa"/>
        </w:trPr>
        <w:tc>
          <w:tcPr>
            <w:tcW w:w="0" w:type="auto"/>
            <w:tcBorders>
              <w:bottom w:val="single" w:sz="4" w:space="0" w:color="auto"/>
              <w:right w:val="single" w:sz="4" w:space="0" w:color="auto"/>
            </w:tcBorders>
            <w:vAlign w:val="center"/>
            <w:hideMark/>
          </w:tcPr>
          <w:p w14:paraId="1016CB57"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Схема масштабування</w:t>
            </w:r>
          </w:p>
        </w:tc>
        <w:tc>
          <w:tcPr>
            <w:tcW w:w="0" w:type="auto"/>
            <w:tcBorders>
              <w:bottom w:val="single" w:sz="4" w:space="0" w:color="auto"/>
              <w:right w:val="single" w:sz="4" w:space="0" w:color="auto"/>
            </w:tcBorders>
            <w:vAlign w:val="center"/>
            <w:hideMark/>
          </w:tcPr>
          <w:p w14:paraId="55836FA4"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Інфраструктурний артефакт</w:t>
            </w:r>
          </w:p>
        </w:tc>
        <w:tc>
          <w:tcPr>
            <w:tcW w:w="0" w:type="auto"/>
            <w:tcBorders>
              <w:bottom w:val="single" w:sz="4" w:space="0" w:color="auto"/>
            </w:tcBorders>
            <w:vAlign w:val="center"/>
            <w:hideMark/>
          </w:tcPr>
          <w:p w14:paraId="2E5ED8C5"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Архітектурне проєктування</w:t>
            </w:r>
          </w:p>
        </w:tc>
      </w:tr>
      <w:tr w:rsidR="00C40B16" w:rsidRPr="00C40B16" w14:paraId="3DEF9CA8" w14:textId="77777777" w:rsidTr="00C40B16">
        <w:trPr>
          <w:tblCellSpacing w:w="15" w:type="dxa"/>
        </w:trPr>
        <w:tc>
          <w:tcPr>
            <w:tcW w:w="0" w:type="auto"/>
            <w:tcBorders>
              <w:right w:val="single" w:sz="4" w:space="0" w:color="auto"/>
            </w:tcBorders>
            <w:vAlign w:val="center"/>
            <w:hideMark/>
          </w:tcPr>
          <w:p w14:paraId="58820E5A"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Аналіз безпеки</w:t>
            </w:r>
          </w:p>
        </w:tc>
        <w:tc>
          <w:tcPr>
            <w:tcW w:w="0" w:type="auto"/>
            <w:tcBorders>
              <w:right w:val="single" w:sz="4" w:space="0" w:color="auto"/>
            </w:tcBorders>
            <w:vAlign w:val="center"/>
            <w:hideMark/>
          </w:tcPr>
          <w:p w14:paraId="106D6798"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Аналітико-проєктний артефакт</w:t>
            </w:r>
          </w:p>
        </w:tc>
        <w:tc>
          <w:tcPr>
            <w:tcW w:w="0" w:type="auto"/>
            <w:vAlign w:val="center"/>
            <w:hideMark/>
          </w:tcPr>
          <w:p w14:paraId="502BDDFA"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Проєктування</w:t>
            </w:r>
          </w:p>
        </w:tc>
      </w:tr>
      <w:tr w:rsidR="00C40B16" w:rsidRPr="00C40B16" w14:paraId="0285676F" w14:textId="77777777" w:rsidTr="00C40B16">
        <w:trPr>
          <w:tblCellSpacing w:w="15" w:type="dxa"/>
        </w:trPr>
        <w:tc>
          <w:tcPr>
            <w:tcW w:w="0" w:type="auto"/>
            <w:tcBorders>
              <w:top w:val="single" w:sz="4" w:space="0" w:color="auto"/>
              <w:right w:val="single" w:sz="4" w:space="0" w:color="auto"/>
            </w:tcBorders>
            <w:vAlign w:val="center"/>
            <w:hideMark/>
          </w:tcPr>
          <w:p w14:paraId="2C59B4E5"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Дорожня карта розвитку</w:t>
            </w:r>
          </w:p>
        </w:tc>
        <w:tc>
          <w:tcPr>
            <w:tcW w:w="0" w:type="auto"/>
            <w:tcBorders>
              <w:top w:val="single" w:sz="4" w:space="0" w:color="auto"/>
              <w:right w:val="single" w:sz="4" w:space="0" w:color="auto"/>
            </w:tcBorders>
            <w:vAlign w:val="center"/>
            <w:hideMark/>
          </w:tcPr>
          <w:p w14:paraId="087D8332"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Стратегічний артефакт</w:t>
            </w:r>
          </w:p>
        </w:tc>
        <w:tc>
          <w:tcPr>
            <w:tcW w:w="0" w:type="auto"/>
            <w:tcBorders>
              <w:top w:val="single" w:sz="4" w:space="0" w:color="auto"/>
            </w:tcBorders>
            <w:vAlign w:val="center"/>
            <w:hideMark/>
          </w:tcPr>
          <w:p w14:paraId="521ECC03"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Планування</w:t>
            </w:r>
          </w:p>
        </w:tc>
      </w:tr>
      <w:tr w:rsidR="00C40B16" w:rsidRPr="00C40B16" w14:paraId="40185FEB" w14:textId="77777777" w:rsidTr="00C40B16">
        <w:trPr>
          <w:tblCellSpacing w:w="15" w:type="dxa"/>
        </w:trPr>
        <w:tc>
          <w:tcPr>
            <w:tcW w:w="0" w:type="auto"/>
            <w:tcBorders>
              <w:top w:val="single" w:sz="4" w:space="0" w:color="auto"/>
              <w:right w:val="single" w:sz="4" w:space="0" w:color="auto"/>
            </w:tcBorders>
            <w:vAlign w:val="center"/>
            <w:hideMark/>
          </w:tcPr>
          <w:p w14:paraId="52DDC6B8"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Опис операційних циклів</w:t>
            </w:r>
          </w:p>
        </w:tc>
        <w:tc>
          <w:tcPr>
            <w:tcW w:w="0" w:type="auto"/>
            <w:tcBorders>
              <w:top w:val="single" w:sz="4" w:space="0" w:color="auto"/>
              <w:right w:val="single" w:sz="4" w:space="0" w:color="auto"/>
            </w:tcBorders>
            <w:vAlign w:val="center"/>
            <w:hideMark/>
          </w:tcPr>
          <w:p w14:paraId="211D5FEF"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Динамічний функціональний артефакт</w:t>
            </w:r>
          </w:p>
        </w:tc>
        <w:tc>
          <w:tcPr>
            <w:tcW w:w="0" w:type="auto"/>
            <w:tcBorders>
              <w:top w:val="single" w:sz="4" w:space="0" w:color="auto"/>
            </w:tcBorders>
            <w:vAlign w:val="center"/>
            <w:hideMark/>
          </w:tcPr>
          <w:p w14:paraId="7EF60B31" w14:textId="77777777" w:rsidR="00C40B16" w:rsidRPr="00C40B16" w:rsidRDefault="00C40B16" w:rsidP="00C40B16">
            <w:pPr>
              <w:jc w:val="center"/>
              <w:rPr>
                <w:rFonts w:ascii="Times New Roman" w:hAnsi="Times New Roman" w:cs="Times New Roman"/>
                <w:sz w:val="28"/>
                <w:szCs w:val="28"/>
              </w:rPr>
            </w:pPr>
            <w:r w:rsidRPr="00C40B16">
              <w:rPr>
                <w:rFonts w:ascii="Times New Roman" w:hAnsi="Times New Roman" w:cs="Times New Roman"/>
                <w:sz w:val="28"/>
                <w:szCs w:val="28"/>
              </w:rPr>
              <w:t>Системний аналіз</w:t>
            </w:r>
          </w:p>
        </w:tc>
      </w:tr>
    </w:tbl>
    <w:p w14:paraId="1AFFA6C3" w14:textId="77777777" w:rsidR="00C40B16" w:rsidRPr="00C40B16" w:rsidRDefault="00C40B16" w:rsidP="00C40B16">
      <w:pPr>
        <w:spacing w:line="360" w:lineRule="auto"/>
        <w:ind w:firstLine="709"/>
        <w:contextualSpacing/>
        <w:jc w:val="both"/>
        <w:rPr>
          <w:rFonts w:ascii="Times New Roman" w:hAnsi="Times New Roman" w:cs="Times New Roman"/>
          <w:sz w:val="28"/>
          <w:szCs w:val="28"/>
        </w:rPr>
      </w:pPr>
    </w:p>
    <w:p w14:paraId="21361EA1" w14:textId="77777777" w:rsidR="00C40B16" w:rsidRDefault="00C40B16" w:rsidP="00C40B16">
      <w:pPr>
        <w:jc w:val="center"/>
        <w:rPr>
          <w:rFonts w:ascii="Times New Roman" w:hAnsi="Times New Roman" w:cs="Times New Roman"/>
          <w:b/>
          <w:bCs/>
          <w:sz w:val="28"/>
          <w:szCs w:val="28"/>
        </w:rPr>
      </w:pPr>
    </w:p>
    <w:p w14:paraId="5DA740D8" w14:textId="77777777" w:rsidR="00C40B16" w:rsidRDefault="00C40B16" w:rsidP="00C40B16">
      <w:pPr>
        <w:jc w:val="center"/>
        <w:rPr>
          <w:rFonts w:ascii="Times New Roman" w:hAnsi="Times New Roman" w:cs="Times New Roman"/>
          <w:b/>
          <w:bCs/>
          <w:sz w:val="28"/>
          <w:szCs w:val="28"/>
        </w:rPr>
      </w:pPr>
    </w:p>
    <w:p w14:paraId="4E74E92A" w14:textId="41706E8C" w:rsidR="00C40B16" w:rsidRPr="00C40B16" w:rsidRDefault="00C40B16" w:rsidP="00C40B16">
      <w:pPr>
        <w:spacing w:line="360" w:lineRule="auto"/>
        <w:ind w:firstLine="709"/>
        <w:contextualSpacing/>
        <w:jc w:val="both"/>
        <w:rPr>
          <w:rFonts w:ascii="Times New Roman" w:hAnsi="Times New Roman" w:cs="Times New Roman"/>
          <w:sz w:val="28"/>
          <w:szCs w:val="28"/>
        </w:rPr>
      </w:pPr>
      <w:r w:rsidRPr="00C40B16">
        <w:rPr>
          <w:rFonts w:ascii="Times New Roman" w:hAnsi="Times New Roman" w:cs="Times New Roman"/>
          <w:sz w:val="28"/>
          <w:szCs w:val="28"/>
        </w:rPr>
        <w:lastRenderedPageBreak/>
        <w:t xml:space="preserve">Наведена класифікація демонструє, що створена інформаційна система є не окремим документом, а сукупністю взаємопов’язаних результатів проєктної діяльності. Вона відображає систему як цілісний об’єкт, розглянутий з різних аспектів </w:t>
      </w:r>
      <w:r>
        <w:rPr>
          <w:rFonts w:ascii="Times New Roman" w:hAnsi="Times New Roman" w:cs="Times New Roman"/>
          <w:sz w:val="28"/>
          <w:szCs w:val="28"/>
        </w:rPr>
        <w:t>–</w:t>
      </w:r>
      <w:r w:rsidRPr="00C40B16">
        <w:rPr>
          <w:rFonts w:ascii="Times New Roman" w:hAnsi="Times New Roman" w:cs="Times New Roman"/>
          <w:sz w:val="28"/>
          <w:szCs w:val="28"/>
        </w:rPr>
        <w:t xml:space="preserve"> функціонального, структурного, архітектурного та стратегічного.</w:t>
      </w:r>
    </w:p>
    <w:p w14:paraId="7621D303" w14:textId="77777777" w:rsidR="00C40B16" w:rsidRPr="00C40B16" w:rsidRDefault="00C40B16" w:rsidP="00C40B16">
      <w:pPr>
        <w:spacing w:line="360" w:lineRule="auto"/>
        <w:ind w:firstLine="709"/>
        <w:contextualSpacing/>
        <w:jc w:val="both"/>
        <w:rPr>
          <w:rFonts w:ascii="Times New Roman" w:hAnsi="Times New Roman" w:cs="Times New Roman"/>
          <w:sz w:val="28"/>
          <w:szCs w:val="28"/>
        </w:rPr>
      </w:pPr>
      <w:r w:rsidRPr="00C40B16">
        <w:rPr>
          <w:rFonts w:ascii="Times New Roman" w:hAnsi="Times New Roman" w:cs="Times New Roman"/>
          <w:sz w:val="28"/>
          <w:szCs w:val="28"/>
        </w:rPr>
        <w:t>Отже, інформаційна система управління онлайн-курсом у межах даної роботи може бути визначена як комплексний архітектурно-проєктний артефакт. Вона формалізує бачення системи, описує її структуру, поведінку та перспективи розвитку, створюючи основу для подальшої програмної реалізації.</w:t>
      </w:r>
    </w:p>
    <w:p w14:paraId="0AA9035E" w14:textId="77777777" w:rsidR="00C40B16" w:rsidRPr="00C40B16" w:rsidRDefault="00C40B16" w:rsidP="00C40B16">
      <w:pPr>
        <w:spacing w:line="360" w:lineRule="auto"/>
        <w:ind w:firstLine="709"/>
        <w:contextualSpacing/>
        <w:jc w:val="both"/>
        <w:rPr>
          <w:rFonts w:ascii="Times New Roman" w:hAnsi="Times New Roman" w:cs="Times New Roman"/>
          <w:sz w:val="28"/>
          <w:szCs w:val="28"/>
        </w:rPr>
      </w:pPr>
      <w:r w:rsidRPr="00C40B16">
        <w:rPr>
          <w:rFonts w:ascii="Times New Roman" w:hAnsi="Times New Roman" w:cs="Times New Roman"/>
          <w:sz w:val="28"/>
          <w:szCs w:val="28"/>
        </w:rPr>
        <w:t>Такий підхід відповідає сучасним принципам програмної інженерії, де документація і моделювання виступають не допоміжними матеріалами, а повноцінними результатами інтелектуальної діяльності.</w:t>
      </w:r>
    </w:p>
    <w:p w14:paraId="26E22950" w14:textId="77777777" w:rsidR="00C40B16" w:rsidRPr="00C40B16" w:rsidRDefault="00C40B16" w:rsidP="00C40B16">
      <w:pPr>
        <w:jc w:val="center"/>
        <w:rPr>
          <w:rFonts w:ascii="Times New Roman" w:hAnsi="Times New Roman" w:cs="Times New Roman"/>
          <w:b/>
          <w:bCs/>
          <w:sz w:val="28"/>
          <w:szCs w:val="28"/>
        </w:rPr>
      </w:pPr>
    </w:p>
    <w:sectPr w:rsidR="00C40B16" w:rsidRPr="00C40B1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9D"/>
    <w:rsid w:val="003058AE"/>
    <w:rsid w:val="00C40B16"/>
    <w:rsid w:val="00C5429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D3D67"/>
  <w15:chartTrackingRefBased/>
  <w15:docId w15:val="{912AD557-198B-4DCB-B2E0-2AF4A7241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54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54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5429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5429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5429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429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429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429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429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429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5429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5429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5429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5429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5429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5429D"/>
    <w:rPr>
      <w:rFonts w:eastAsiaTheme="majorEastAsia" w:cstheme="majorBidi"/>
      <w:color w:val="595959" w:themeColor="text1" w:themeTint="A6"/>
    </w:rPr>
  </w:style>
  <w:style w:type="character" w:customStyle="1" w:styleId="80">
    <w:name w:val="Заголовок 8 Знак"/>
    <w:basedOn w:val="a0"/>
    <w:link w:val="8"/>
    <w:uiPriority w:val="9"/>
    <w:semiHidden/>
    <w:rsid w:val="00C5429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5429D"/>
    <w:rPr>
      <w:rFonts w:eastAsiaTheme="majorEastAsia" w:cstheme="majorBidi"/>
      <w:color w:val="272727" w:themeColor="text1" w:themeTint="D8"/>
    </w:rPr>
  </w:style>
  <w:style w:type="paragraph" w:styleId="a3">
    <w:name w:val="Title"/>
    <w:basedOn w:val="a"/>
    <w:next w:val="a"/>
    <w:link w:val="a4"/>
    <w:uiPriority w:val="10"/>
    <w:qFormat/>
    <w:rsid w:val="00C5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542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429D"/>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5429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5429D"/>
    <w:pPr>
      <w:spacing w:before="160"/>
      <w:jc w:val="center"/>
    </w:pPr>
    <w:rPr>
      <w:i/>
      <w:iCs/>
      <w:color w:val="404040" w:themeColor="text1" w:themeTint="BF"/>
    </w:rPr>
  </w:style>
  <w:style w:type="character" w:customStyle="1" w:styleId="a8">
    <w:name w:val="Цитата Знак"/>
    <w:basedOn w:val="a0"/>
    <w:link w:val="a7"/>
    <w:uiPriority w:val="29"/>
    <w:rsid w:val="00C5429D"/>
    <w:rPr>
      <w:i/>
      <w:iCs/>
      <w:color w:val="404040" w:themeColor="text1" w:themeTint="BF"/>
    </w:rPr>
  </w:style>
  <w:style w:type="paragraph" w:styleId="a9">
    <w:name w:val="List Paragraph"/>
    <w:basedOn w:val="a"/>
    <w:uiPriority w:val="34"/>
    <w:qFormat/>
    <w:rsid w:val="00C5429D"/>
    <w:pPr>
      <w:ind w:left="720"/>
      <w:contextualSpacing/>
    </w:pPr>
  </w:style>
  <w:style w:type="character" w:styleId="aa">
    <w:name w:val="Intense Emphasis"/>
    <w:basedOn w:val="a0"/>
    <w:uiPriority w:val="21"/>
    <w:qFormat/>
    <w:rsid w:val="00C5429D"/>
    <w:rPr>
      <w:i/>
      <w:iCs/>
      <w:color w:val="0F4761" w:themeColor="accent1" w:themeShade="BF"/>
    </w:rPr>
  </w:style>
  <w:style w:type="paragraph" w:styleId="ab">
    <w:name w:val="Intense Quote"/>
    <w:basedOn w:val="a"/>
    <w:next w:val="a"/>
    <w:link w:val="ac"/>
    <w:uiPriority w:val="30"/>
    <w:qFormat/>
    <w:rsid w:val="00C54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C5429D"/>
    <w:rPr>
      <w:i/>
      <w:iCs/>
      <w:color w:val="0F4761" w:themeColor="accent1" w:themeShade="BF"/>
    </w:rPr>
  </w:style>
  <w:style w:type="character" w:styleId="ad">
    <w:name w:val="Intense Reference"/>
    <w:basedOn w:val="a0"/>
    <w:uiPriority w:val="32"/>
    <w:qFormat/>
    <w:rsid w:val="00C542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2542</Words>
  <Characters>1449</Characters>
  <Application>Microsoft Office Word</Application>
  <DocSecurity>0</DocSecurity>
  <Lines>12</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2026-03-05T21:24:00Z</dcterms:created>
  <dcterms:modified xsi:type="dcterms:W3CDTF">2026-03-05T21:27:00Z</dcterms:modified>
</cp:coreProperties>
</file>