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74482" w14:textId="7FBD49DA" w:rsidR="007B6612" w:rsidRPr="007B6612" w:rsidRDefault="007B6612" w:rsidP="007B6612">
      <w:pPr>
        <w:spacing w:line="360" w:lineRule="auto"/>
        <w:contextualSpacing/>
        <w:jc w:val="center"/>
        <w:rPr>
          <w:rFonts w:ascii="Times New Roman" w:hAnsi="Times New Roman" w:cs="Times New Roman"/>
          <w:b/>
          <w:bCs/>
          <w:sz w:val="28"/>
          <w:szCs w:val="28"/>
          <w:lang w:val="en-US"/>
        </w:rPr>
      </w:pPr>
      <w:r w:rsidRPr="007B6612">
        <w:rPr>
          <w:rFonts w:ascii="Times New Roman" w:hAnsi="Times New Roman" w:cs="Times New Roman"/>
          <w:b/>
          <w:bCs/>
          <w:sz w:val="28"/>
          <w:szCs w:val="28"/>
        </w:rPr>
        <w:t>Розділ 8</w:t>
      </w:r>
      <w:r>
        <w:rPr>
          <w:rFonts w:ascii="Times New Roman" w:hAnsi="Times New Roman" w:cs="Times New Roman"/>
          <w:b/>
          <w:bCs/>
          <w:sz w:val="28"/>
          <w:szCs w:val="28"/>
          <w:lang w:val="en-US"/>
        </w:rPr>
        <w:t xml:space="preserve"> </w:t>
      </w:r>
      <w:r w:rsidRPr="007B6612">
        <w:rPr>
          <w:rFonts w:ascii="Times New Roman" w:hAnsi="Times New Roman" w:cs="Times New Roman"/>
          <w:b/>
          <w:bCs/>
          <w:sz w:val="28"/>
          <w:szCs w:val="28"/>
        </w:rPr>
        <w:t xml:space="preserve">Обґрунтування вибору типу бази даних для інформаційної </w:t>
      </w:r>
      <w:proofErr w:type="spellStart"/>
      <w:r w:rsidRPr="007B6612">
        <w:rPr>
          <w:rFonts w:ascii="Times New Roman" w:hAnsi="Times New Roman" w:cs="Times New Roman"/>
          <w:b/>
          <w:bCs/>
          <w:sz w:val="28"/>
          <w:szCs w:val="28"/>
        </w:rPr>
        <w:t>систе</w:t>
      </w:r>
      <w:proofErr w:type="spellEnd"/>
      <w:r>
        <w:rPr>
          <w:rFonts w:ascii="Times New Roman" w:hAnsi="Times New Roman" w:cs="Times New Roman"/>
          <w:b/>
          <w:bCs/>
          <w:sz w:val="28"/>
          <w:szCs w:val="28"/>
          <w:lang w:val="en-US"/>
        </w:rPr>
        <w:t xml:space="preserve"> </w:t>
      </w:r>
      <w:r w:rsidRPr="007B6612">
        <w:rPr>
          <w:rFonts w:ascii="Times New Roman" w:hAnsi="Times New Roman" w:cs="Times New Roman"/>
          <w:b/>
          <w:bCs/>
          <w:sz w:val="28"/>
          <w:szCs w:val="28"/>
        </w:rPr>
        <w:t>ми управління онлайн-курсом</w:t>
      </w:r>
    </w:p>
    <w:p w14:paraId="154746A8" w14:textId="75635B95" w:rsidR="007B6612" w:rsidRDefault="007B6612" w:rsidP="007B6612">
      <w:pPr>
        <w:tabs>
          <w:tab w:val="left" w:pos="3276"/>
        </w:tabs>
        <w:spacing w:line="360" w:lineRule="auto"/>
        <w:contextualSpacing/>
        <w:jc w:val="both"/>
        <w:rPr>
          <w:rFonts w:ascii="Times New Roman" w:hAnsi="Times New Roman" w:cs="Times New Roman"/>
          <w:sz w:val="28"/>
          <w:szCs w:val="28"/>
          <w:lang w:val="en-US"/>
        </w:rPr>
      </w:pPr>
    </w:p>
    <w:p w14:paraId="320FEC0B" w14:textId="115C196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Після побудови моделі даних постає питання, яку саме базу даних доцільно використати для реалізації інформаційної системи управління онлайн-курсом. Вибір типу бази даних повинен ґрунтуватися не на популярності технології, а на характері даних, які система зберігатиме, та на вимогах до їх обробки.</w:t>
      </w:r>
    </w:p>
    <w:p w14:paraId="27DF2D73" w14:textId="76C50FC8"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У нашому випадку дані мають чітку структуру. Користувачі, курси, матеріали, тести, питання та результати </w:t>
      </w:r>
      <w:r>
        <w:rPr>
          <w:rFonts w:ascii="Times New Roman" w:hAnsi="Times New Roman" w:cs="Times New Roman"/>
          <w:sz w:val="28"/>
          <w:szCs w:val="28"/>
          <w:lang w:val="en-US"/>
        </w:rPr>
        <w:t>–</w:t>
      </w:r>
      <w:r w:rsidRPr="007B6612">
        <w:rPr>
          <w:rFonts w:ascii="Times New Roman" w:hAnsi="Times New Roman" w:cs="Times New Roman"/>
          <w:sz w:val="28"/>
          <w:szCs w:val="28"/>
        </w:rPr>
        <w:t xml:space="preserve"> це сутності з визначеним набором атрибутів і зрозумілими зв’язками між собою. Ці зв’язки мають конкретну логіку: один курс може містити багато матеріалів, один тест складається з багатьох питань, а один користувач може мати декілька результатів проходження тестів. Така модель передбачає наявність зовнішніх ключів і підтримку відношень типу один-до-багатьох та багато-до-багатьох.</w:t>
      </w:r>
    </w:p>
    <w:p w14:paraId="37DF6B3F" w14:textId="7777777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Серед сучасних підходів до зберігання даних найчастіше розглядають реляційні бази даних, </w:t>
      </w:r>
      <w:proofErr w:type="spellStart"/>
      <w:r w:rsidRPr="007B6612">
        <w:rPr>
          <w:rFonts w:ascii="Times New Roman" w:hAnsi="Times New Roman" w:cs="Times New Roman"/>
          <w:sz w:val="28"/>
          <w:szCs w:val="28"/>
        </w:rPr>
        <w:t>документоорієнтовані</w:t>
      </w:r>
      <w:proofErr w:type="spellEnd"/>
      <w:r w:rsidRPr="007B6612">
        <w:rPr>
          <w:rFonts w:ascii="Times New Roman" w:hAnsi="Times New Roman" w:cs="Times New Roman"/>
          <w:sz w:val="28"/>
          <w:szCs w:val="28"/>
        </w:rPr>
        <w:t xml:space="preserve"> системи та графові бази. </w:t>
      </w:r>
      <w:proofErr w:type="spellStart"/>
      <w:r w:rsidRPr="007B6612">
        <w:rPr>
          <w:rFonts w:ascii="Times New Roman" w:hAnsi="Times New Roman" w:cs="Times New Roman"/>
          <w:sz w:val="28"/>
          <w:szCs w:val="28"/>
        </w:rPr>
        <w:t>Документоорієнтовані</w:t>
      </w:r>
      <w:proofErr w:type="spellEnd"/>
      <w:r w:rsidRPr="007B6612">
        <w:rPr>
          <w:rFonts w:ascii="Times New Roman" w:hAnsi="Times New Roman" w:cs="Times New Roman"/>
          <w:sz w:val="28"/>
          <w:szCs w:val="28"/>
        </w:rPr>
        <w:t xml:space="preserve"> рішення, як правило, використовують формат зберігання даних у вигляді JSON-документів і добре підходять для систем, у яких структура даних часто змінюється або не є строго визначеною. Проте в системі управління онлайн-курсом структура даних досить стабільна, а зв’язки між сутностями мають важливе значення. Графові бази, у свою чергу, орієнтовані на складні мережі </w:t>
      </w:r>
      <w:proofErr w:type="spellStart"/>
      <w:r w:rsidRPr="007B6612">
        <w:rPr>
          <w:rFonts w:ascii="Times New Roman" w:hAnsi="Times New Roman" w:cs="Times New Roman"/>
          <w:sz w:val="28"/>
          <w:szCs w:val="28"/>
        </w:rPr>
        <w:t>зв’язків</w:t>
      </w:r>
      <w:proofErr w:type="spellEnd"/>
      <w:r w:rsidRPr="007B6612">
        <w:rPr>
          <w:rFonts w:ascii="Times New Roman" w:hAnsi="Times New Roman" w:cs="Times New Roman"/>
          <w:sz w:val="28"/>
          <w:szCs w:val="28"/>
        </w:rPr>
        <w:t xml:space="preserve"> і використовуються переважно у системах рекомендацій або соціальних мережах. Для нашої задачі така модель була б надлишковою та ускладнила б реалізацію.</w:t>
      </w:r>
    </w:p>
    <w:p w14:paraId="11221AE5" w14:textId="46324204"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Реляційні бази даних найбільш природно відповідають побудованій ER-моделі. Сутності перетворюються на таблиці, атрибути </w:t>
      </w:r>
      <w:r>
        <w:rPr>
          <w:rFonts w:ascii="Times New Roman" w:hAnsi="Times New Roman" w:cs="Times New Roman"/>
          <w:sz w:val="28"/>
          <w:szCs w:val="28"/>
          <w:lang w:val="en-US"/>
        </w:rPr>
        <w:t>–</w:t>
      </w:r>
      <w:r w:rsidRPr="007B6612">
        <w:rPr>
          <w:rFonts w:ascii="Times New Roman" w:hAnsi="Times New Roman" w:cs="Times New Roman"/>
          <w:sz w:val="28"/>
          <w:szCs w:val="28"/>
        </w:rPr>
        <w:t xml:space="preserve"> на поля, а зв’язки реалізуються через зовнішні ключі. Такий підхід дозволяє безпосередньо перенести логічну модель у фізичну структуру бази даних без складних перетворень.</w:t>
      </w:r>
    </w:p>
    <w:p w14:paraId="646E6FD9" w14:textId="7777777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Важливою перевагою реляційних систем є підтримка </w:t>
      </w:r>
      <w:proofErr w:type="spellStart"/>
      <w:r w:rsidRPr="007B6612">
        <w:rPr>
          <w:rFonts w:ascii="Times New Roman" w:hAnsi="Times New Roman" w:cs="Times New Roman"/>
          <w:sz w:val="28"/>
          <w:szCs w:val="28"/>
        </w:rPr>
        <w:t>транзакційності</w:t>
      </w:r>
      <w:proofErr w:type="spellEnd"/>
      <w:r w:rsidRPr="007B6612">
        <w:rPr>
          <w:rFonts w:ascii="Times New Roman" w:hAnsi="Times New Roman" w:cs="Times New Roman"/>
          <w:sz w:val="28"/>
          <w:szCs w:val="28"/>
        </w:rPr>
        <w:t xml:space="preserve"> відповідно до принципів ACID. Це означає, що всі операції з даними </w:t>
      </w:r>
      <w:r w:rsidRPr="007B6612">
        <w:rPr>
          <w:rFonts w:ascii="Times New Roman" w:hAnsi="Times New Roman" w:cs="Times New Roman"/>
          <w:sz w:val="28"/>
          <w:szCs w:val="28"/>
        </w:rPr>
        <w:lastRenderedPageBreak/>
        <w:t xml:space="preserve">виконуються цілісно: або повністю, або не виконуються взагалі. У контексті навчальної платформи це має принципове значення. Наприклад, під час збереження результатів тестування необхідно гарантувати, що оцінка, дата проходження та посилання на користувача й тест будуть записані </w:t>
      </w:r>
      <w:proofErr w:type="spellStart"/>
      <w:r w:rsidRPr="007B6612">
        <w:rPr>
          <w:rFonts w:ascii="Times New Roman" w:hAnsi="Times New Roman" w:cs="Times New Roman"/>
          <w:sz w:val="28"/>
          <w:szCs w:val="28"/>
        </w:rPr>
        <w:t>коректно</w:t>
      </w:r>
      <w:proofErr w:type="spellEnd"/>
      <w:r w:rsidRPr="007B6612">
        <w:rPr>
          <w:rFonts w:ascii="Times New Roman" w:hAnsi="Times New Roman" w:cs="Times New Roman"/>
          <w:sz w:val="28"/>
          <w:szCs w:val="28"/>
        </w:rPr>
        <w:t xml:space="preserve"> і без часткових змін. Порушення цілісності даних може призвести до втрати результатів або до некоректного відображення успішності.</w:t>
      </w:r>
    </w:p>
    <w:p w14:paraId="7BC5BB8F" w14:textId="7777777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Ще одним аргументом на користь реляційної моделі є можливість встановлення обмежень цілісності на рівні бази даних. Неможливо створити запис про результат тестування, якщо відповідний тест або користувач не існують. Такі перевірки виконуються автоматично, що зменшує навантаження на прикладний рівень і підвищує надійність системи.</w:t>
      </w:r>
    </w:p>
    <w:p w14:paraId="6BB95415" w14:textId="77777777" w:rsidR="007B6612" w:rsidRDefault="007B6612" w:rsidP="007B6612">
      <w:pPr>
        <w:spacing w:line="360" w:lineRule="auto"/>
        <w:ind w:firstLine="709"/>
        <w:contextualSpacing/>
        <w:jc w:val="both"/>
        <w:rPr>
          <w:rFonts w:ascii="Times New Roman" w:hAnsi="Times New Roman" w:cs="Times New Roman"/>
          <w:sz w:val="28"/>
          <w:szCs w:val="28"/>
          <w:lang w:val="en-US"/>
        </w:rPr>
      </w:pPr>
      <w:r w:rsidRPr="007B6612">
        <w:rPr>
          <w:rFonts w:ascii="Times New Roman" w:hAnsi="Times New Roman" w:cs="Times New Roman"/>
          <w:sz w:val="28"/>
          <w:szCs w:val="28"/>
        </w:rPr>
        <w:t>Для наочності проведено узагальнене порівняння основних типів баз даних, результати якого наведено в таблиці 8.1.</w:t>
      </w:r>
    </w:p>
    <w:p w14:paraId="737748D5" w14:textId="77777777" w:rsidR="007B6612" w:rsidRPr="007B6612" w:rsidRDefault="007B6612" w:rsidP="007B6612">
      <w:pPr>
        <w:spacing w:line="360" w:lineRule="auto"/>
        <w:ind w:firstLine="709"/>
        <w:contextualSpacing/>
        <w:jc w:val="both"/>
        <w:rPr>
          <w:rFonts w:ascii="Times New Roman" w:hAnsi="Times New Roman" w:cs="Times New Roman"/>
          <w:sz w:val="28"/>
          <w:szCs w:val="28"/>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66"/>
        <w:gridCol w:w="1744"/>
        <w:gridCol w:w="3380"/>
        <w:gridCol w:w="1839"/>
      </w:tblGrid>
      <w:tr w:rsidR="007B6612" w:rsidRPr="007B6612" w14:paraId="6FC7992F" w14:textId="77777777" w:rsidTr="007B6612">
        <w:trPr>
          <w:tblHeader/>
          <w:tblCellSpacing w:w="15" w:type="dxa"/>
          <w:jc w:val="center"/>
        </w:trPr>
        <w:tc>
          <w:tcPr>
            <w:tcW w:w="0" w:type="auto"/>
            <w:vAlign w:val="center"/>
            <w:hideMark/>
          </w:tcPr>
          <w:p w14:paraId="3E4F5B1D"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Критерій</w:t>
            </w:r>
          </w:p>
        </w:tc>
        <w:tc>
          <w:tcPr>
            <w:tcW w:w="0" w:type="auto"/>
            <w:tcBorders>
              <w:left w:val="single" w:sz="4" w:space="0" w:color="auto"/>
            </w:tcBorders>
            <w:vAlign w:val="center"/>
            <w:hideMark/>
          </w:tcPr>
          <w:p w14:paraId="056749C5"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Реляційна база даних</w:t>
            </w:r>
          </w:p>
        </w:tc>
        <w:tc>
          <w:tcPr>
            <w:tcW w:w="0" w:type="auto"/>
            <w:tcBorders>
              <w:left w:val="single" w:sz="4" w:space="0" w:color="auto"/>
              <w:right w:val="single" w:sz="4" w:space="0" w:color="auto"/>
            </w:tcBorders>
            <w:vAlign w:val="center"/>
            <w:hideMark/>
          </w:tcPr>
          <w:p w14:paraId="6685C30F" w14:textId="77777777" w:rsidR="007B6612" w:rsidRPr="007B6612" w:rsidRDefault="007B6612" w:rsidP="007B6612">
            <w:pPr>
              <w:jc w:val="center"/>
              <w:rPr>
                <w:rFonts w:ascii="Times New Roman" w:hAnsi="Times New Roman" w:cs="Times New Roman"/>
                <w:sz w:val="28"/>
                <w:szCs w:val="28"/>
              </w:rPr>
            </w:pPr>
            <w:proofErr w:type="spellStart"/>
            <w:r w:rsidRPr="007B6612">
              <w:rPr>
                <w:rFonts w:ascii="Times New Roman" w:hAnsi="Times New Roman" w:cs="Times New Roman"/>
                <w:sz w:val="28"/>
                <w:szCs w:val="28"/>
              </w:rPr>
              <w:t>Документоорієнтована</w:t>
            </w:r>
            <w:proofErr w:type="spellEnd"/>
            <w:r w:rsidRPr="007B6612">
              <w:rPr>
                <w:rFonts w:ascii="Times New Roman" w:hAnsi="Times New Roman" w:cs="Times New Roman"/>
                <w:sz w:val="28"/>
                <w:szCs w:val="28"/>
              </w:rPr>
              <w:t xml:space="preserve"> база</w:t>
            </w:r>
          </w:p>
        </w:tc>
        <w:tc>
          <w:tcPr>
            <w:tcW w:w="0" w:type="auto"/>
            <w:vAlign w:val="center"/>
            <w:hideMark/>
          </w:tcPr>
          <w:p w14:paraId="34991501" w14:textId="77777777" w:rsidR="007B6612" w:rsidRPr="007B6612" w:rsidRDefault="007B6612" w:rsidP="007B6612">
            <w:pPr>
              <w:jc w:val="center"/>
              <w:rPr>
                <w:rFonts w:ascii="Times New Roman" w:hAnsi="Times New Roman" w:cs="Times New Roman"/>
                <w:sz w:val="28"/>
                <w:szCs w:val="28"/>
              </w:rPr>
            </w:pPr>
            <w:proofErr w:type="spellStart"/>
            <w:r w:rsidRPr="007B6612">
              <w:rPr>
                <w:rFonts w:ascii="Times New Roman" w:hAnsi="Times New Roman" w:cs="Times New Roman"/>
                <w:sz w:val="28"/>
                <w:szCs w:val="28"/>
              </w:rPr>
              <w:t>Графова</w:t>
            </w:r>
            <w:proofErr w:type="spellEnd"/>
            <w:r w:rsidRPr="007B6612">
              <w:rPr>
                <w:rFonts w:ascii="Times New Roman" w:hAnsi="Times New Roman" w:cs="Times New Roman"/>
                <w:sz w:val="28"/>
                <w:szCs w:val="28"/>
              </w:rPr>
              <w:t xml:space="preserve"> база даних</w:t>
            </w:r>
          </w:p>
        </w:tc>
      </w:tr>
      <w:tr w:rsidR="007B6612" w:rsidRPr="007B6612" w14:paraId="7974BB5B" w14:textId="77777777" w:rsidTr="007B6612">
        <w:trPr>
          <w:tblCellSpacing w:w="15" w:type="dxa"/>
          <w:jc w:val="center"/>
        </w:trPr>
        <w:tc>
          <w:tcPr>
            <w:tcW w:w="0" w:type="auto"/>
            <w:tcBorders>
              <w:top w:val="single" w:sz="4" w:space="0" w:color="auto"/>
            </w:tcBorders>
            <w:vAlign w:val="center"/>
            <w:hideMark/>
          </w:tcPr>
          <w:p w14:paraId="574C8766"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 xml:space="preserve">Підтримка складних </w:t>
            </w:r>
            <w:proofErr w:type="spellStart"/>
            <w:r w:rsidRPr="007B6612">
              <w:rPr>
                <w:rFonts w:ascii="Times New Roman" w:hAnsi="Times New Roman" w:cs="Times New Roman"/>
                <w:sz w:val="28"/>
                <w:szCs w:val="28"/>
              </w:rPr>
              <w:t>зв’язків</w:t>
            </w:r>
            <w:proofErr w:type="spellEnd"/>
          </w:p>
        </w:tc>
        <w:tc>
          <w:tcPr>
            <w:tcW w:w="0" w:type="auto"/>
            <w:tcBorders>
              <w:top w:val="single" w:sz="4" w:space="0" w:color="auto"/>
              <w:left w:val="single" w:sz="4" w:space="0" w:color="auto"/>
            </w:tcBorders>
            <w:vAlign w:val="center"/>
            <w:hideMark/>
          </w:tcPr>
          <w:p w14:paraId="2DF3407A"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Повна</w:t>
            </w:r>
          </w:p>
        </w:tc>
        <w:tc>
          <w:tcPr>
            <w:tcW w:w="0" w:type="auto"/>
            <w:tcBorders>
              <w:top w:val="single" w:sz="4" w:space="0" w:color="auto"/>
              <w:left w:val="single" w:sz="4" w:space="0" w:color="auto"/>
              <w:right w:val="single" w:sz="4" w:space="0" w:color="auto"/>
            </w:tcBorders>
            <w:vAlign w:val="center"/>
            <w:hideMark/>
          </w:tcPr>
          <w:p w14:paraId="67FD5BCA"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Обмежена</w:t>
            </w:r>
          </w:p>
        </w:tc>
        <w:tc>
          <w:tcPr>
            <w:tcW w:w="0" w:type="auto"/>
            <w:tcBorders>
              <w:top w:val="single" w:sz="4" w:space="0" w:color="auto"/>
            </w:tcBorders>
            <w:vAlign w:val="center"/>
            <w:hideMark/>
          </w:tcPr>
          <w:p w14:paraId="7DB73B8E"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Висока</w:t>
            </w:r>
          </w:p>
        </w:tc>
      </w:tr>
      <w:tr w:rsidR="007B6612" w:rsidRPr="007B6612" w14:paraId="4FA18740" w14:textId="77777777" w:rsidTr="007B6612">
        <w:trPr>
          <w:tblCellSpacing w:w="15" w:type="dxa"/>
          <w:jc w:val="center"/>
        </w:trPr>
        <w:tc>
          <w:tcPr>
            <w:tcW w:w="0" w:type="auto"/>
            <w:tcBorders>
              <w:top w:val="single" w:sz="4" w:space="0" w:color="auto"/>
              <w:bottom w:val="single" w:sz="4" w:space="0" w:color="auto"/>
            </w:tcBorders>
            <w:vAlign w:val="center"/>
            <w:hideMark/>
          </w:tcPr>
          <w:p w14:paraId="0E448D2B"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Структурованість даних</w:t>
            </w:r>
          </w:p>
        </w:tc>
        <w:tc>
          <w:tcPr>
            <w:tcW w:w="0" w:type="auto"/>
            <w:tcBorders>
              <w:top w:val="single" w:sz="4" w:space="0" w:color="auto"/>
              <w:left w:val="single" w:sz="4" w:space="0" w:color="auto"/>
              <w:bottom w:val="single" w:sz="4" w:space="0" w:color="auto"/>
            </w:tcBorders>
            <w:vAlign w:val="center"/>
            <w:hideMark/>
          </w:tcPr>
          <w:p w14:paraId="76E86EE1"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Чітка схема</w:t>
            </w:r>
          </w:p>
        </w:tc>
        <w:tc>
          <w:tcPr>
            <w:tcW w:w="0" w:type="auto"/>
            <w:tcBorders>
              <w:top w:val="single" w:sz="4" w:space="0" w:color="auto"/>
              <w:left w:val="single" w:sz="4" w:space="0" w:color="auto"/>
              <w:bottom w:val="single" w:sz="4" w:space="0" w:color="auto"/>
              <w:right w:val="single" w:sz="4" w:space="0" w:color="auto"/>
            </w:tcBorders>
            <w:vAlign w:val="center"/>
            <w:hideMark/>
          </w:tcPr>
          <w:p w14:paraId="4DF299C9"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Гнучка структура</w:t>
            </w:r>
          </w:p>
        </w:tc>
        <w:tc>
          <w:tcPr>
            <w:tcW w:w="0" w:type="auto"/>
            <w:tcBorders>
              <w:top w:val="single" w:sz="4" w:space="0" w:color="auto"/>
              <w:bottom w:val="single" w:sz="4" w:space="0" w:color="auto"/>
            </w:tcBorders>
            <w:vAlign w:val="center"/>
            <w:hideMark/>
          </w:tcPr>
          <w:p w14:paraId="6F028B29"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Орієнтація на зв’язки</w:t>
            </w:r>
          </w:p>
        </w:tc>
      </w:tr>
      <w:tr w:rsidR="007B6612" w:rsidRPr="007B6612" w14:paraId="5B6AC447" w14:textId="77777777" w:rsidTr="007B6612">
        <w:trPr>
          <w:tblCellSpacing w:w="15" w:type="dxa"/>
          <w:jc w:val="center"/>
        </w:trPr>
        <w:tc>
          <w:tcPr>
            <w:tcW w:w="0" w:type="auto"/>
            <w:vAlign w:val="center"/>
            <w:hideMark/>
          </w:tcPr>
          <w:p w14:paraId="02CE76B3"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Підтримка транзакцій</w:t>
            </w:r>
          </w:p>
        </w:tc>
        <w:tc>
          <w:tcPr>
            <w:tcW w:w="0" w:type="auto"/>
            <w:tcBorders>
              <w:left w:val="single" w:sz="4" w:space="0" w:color="auto"/>
            </w:tcBorders>
            <w:vAlign w:val="center"/>
            <w:hideMark/>
          </w:tcPr>
          <w:p w14:paraId="45AC5957"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Повна (ACID)</w:t>
            </w:r>
          </w:p>
        </w:tc>
        <w:tc>
          <w:tcPr>
            <w:tcW w:w="0" w:type="auto"/>
            <w:tcBorders>
              <w:left w:val="single" w:sz="4" w:space="0" w:color="auto"/>
              <w:right w:val="single" w:sz="4" w:space="0" w:color="auto"/>
            </w:tcBorders>
            <w:vAlign w:val="center"/>
            <w:hideMark/>
          </w:tcPr>
          <w:p w14:paraId="7FEC2DCE"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Часткова або залежить від реалізації</w:t>
            </w:r>
          </w:p>
        </w:tc>
        <w:tc>
          <w:tcPr>
            <w:tcW w:w="0" w:type="auto"/>
            <w:vAlign w:val="center"/>
            <w:hideMark/>
          </w:tcPr>
          <w:p w14:paraId="22A62875"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Залежить від системи</w:t>
            </w:r>
          </w:p>
        </w:tc>
      </w:tr>
      <w:tr w:rsidR="007B6612" w:rsidRPr="007B6612" w14:paraId="7852C400" w14:textId="77777777" w:rsidTr="007B6612">
        <w:trPr>
          <w:tblCellSpacing w:w="15" w:type="dxa"/>
          <w:jc w:val="center"/>
        </w:trPr>
        <w:tc>
          <w:tcPr>
            <w:tcW w:w="0" w:type="auto"/>
            <w:tcBorders>
              <w:top w:val="single" w:sz="4" w:space="0" w:color="auto"/>
              <w:bottom w:val="single" w:sz="4" w:space="0" w:color="auto"/>
            </w:tcBorders>
            <w:vAlign w:val="center"/>
            <w:hideMark/>
          </w:tcPr>
          <w:p w14:paraId="29F8C557"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Відповідність ER-моделі</w:t>
            </w:r>
          </w:p>
        </w:tc>
        <w:tc>
          <w:tcPr>
            <w:tcW w:w="0" w:type="auto"/>
            <w:tcBorders>
              <w:top w:val="single" w:sz="4" w:space="0" w:color="auto"/>
              <w:left w:val="single" w:sz="4" w:space="0" w:color="auto"/>
              <w:bottom w:val="single" w:sz="4" w:space="0" w:color="auto"/>
            </w:tcBorders>
            <w:vAlign w:val="center"/>
            <w:hideMark/>
          </w:tcPr>
          <w:p w14:paraId="47B76383"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Повна</w:t>
            </w:r>
          </w:p>
        </w:tc>
        <w:tc>
          <w:tcPr>
            <w:tcW w:w="0" w:type="auto"/>
            <w:tcBorders>
              <w:top w:val="single" w:sz="4" w:space="0" w:color="auto"/>
              <w:left w:val="single" w:sz="4" w:space="0" w:color="auto"/>
              <w:bottom w:val="single" w:sz="4" w:space="0" w:color="auto"/>
              <w:right w:val="single" w:sz="4" w:space="0" w:color="auto"/>
            </w:tcBorders>
            <w:vAlign w:val="center"/>
            <w:hideMark/>
          </w:tcPr>
          <w:p w14:paraId="61716850"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Часткова</w:t>
            </w:r>
          </w:p>
        </w:tc>
        <w:tc>
          <w:tcPr>
            <w:tcW w:w="0" w:type="auto"/>
            <w:tcBorders>
              <w:top w:val="single" w:sz="4" w:space="0" w:color="auto"/>
              <w:bottom w:val="single" w:sz="4" w:space="0" w:color="auto"/>
            </w:tcBorders>
            <w:vAlign w:val="center"/>
            <w:hideMark/>
          </w:tcPr>
          <w:p w14:paraId="56BBA917"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Непряма</w:t>
            </w:r>
          </w:p>
        </w:tc>
      </w:tr>
      <w:tr w:rsidR="007B6612" w:rsidRPr="007B6612" w14:paraId="1D96A204" w14:textId="77777777" w:rsidTr="007B6612">
        <w:trPr>
          <w:tblCellSpacing w:w="15" w:type="dxa"/>
          <w:jc w:val="center"/>
        </w:trPr>
        <w:tc>
          <w:tcPr>
            <w:tcW w:w="0" w:type="auto"/>
            <w:vAlign w:val="center"/>
            <w:hideMark/>
          </w:tcPr>
          <w:p w14:paraId="1A361C61"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Доцільність для LMS</w:t>
            </w:r>
          </w:p>
        </w:tc>
        <w:tc>
          <w:tcPr>
            <w:tcW w:w="0" w:type="auto"/>
            <w:tcBorders>
              <w:left w:val="single" w:sz="4" w:space="0" w:color="auto"/>
            </w:tcBorders>
            <w:vAlign w:val="center"/>
            <w:hideMark/>
          </w:tcPr>
          <w:p w14:paraId="28EB69C4"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Висока</w:t>
            </w:r>
          </w:p>
        </w:tc>
        <w:tc>
          <w:tcPr>
            <w:tcW w:w="0" w:type="auto"/>
            <w:tcBorders>
              <w:left w:val="single" w:sz="4" w:space="0" w:color="auto"/>
              <w:right w:val="single" w:sz="4" w:space="0" w:color="auto"/>
            </w:tcBorders>
            <w:vAlign w:val="center"/>
            <w:hideMark/>
          </w:tcPr>
          <w:p w14:paraId="6A454457"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Середня</w:t>
            </w:r>
          </w:p>
        </w:tc>
        <w:tc>
          <w:tcPr>
            <w:tcW w:w="0" w:type="auto"/>
            <w:vAlign w:val="center"/>
            <w:hideMark/>
          </w:tcPr>
          <w:p w14:paraId="7E5BAA06" w14:textId="77777777" w:rsidR="007B6612" w:rsidRPr="007B6612" w:rsidRDefault="007B6612" w:rsidP="007B6612">
            <w:pPr>
              <w:jc w:val="center"/>
              <w:rPr>
                <w:rFonts w:ascii="Times New Roman" w:hAnsi="Times New Roman" w:cs="Times New Roman"/>
                <w:sz w:val="28"/>
                <w:szCs w:val="28"/>
              </w:rPr>
            </w:pPr>
            <w:r w:rsidRPr="007B6612">
              <w:rPr>
                <w:rFonts w:ascii="Times New Roman" w:hAnsi="Times New Roman" w:cs="Times New Roman"/>
                <w:sz w:val="28"/>
                <w:szCs w:val="28"/>
              </w:rPr>
              <w:t>Низька</w:t>
            </w:r>
          </w:p>
        </w:tc>
      </w:tr>
    </w:tbl>
    <w:p w14:paraId="1971CA7B" w14:textId="77777777" w:rsidR="007B6612" w:rsidRDefault="007B6612" w:rsidP="007B6612">
      <w:pPr>
        <w:spacing w:line="360" w:lineRule="auto"/>
        <w:ind w:firstLine="709"/>
        <w:contextualSpacing/>
        <w:jc w:val="both"/>
        <w:rPr>
          <w:rFonts w:ascii="Times New Roman" w:hAnsi="Times New Roman" w:cs="Times New Roman"/>
          <w:sz w:val="28"/>
          <w:szCs w:val="28"/>
          <w:lang w:val="en-US"/>
        </w:rPr>
      </w:pPr>
    </w:p>
    <w:p w14:paraId="3376B2B6" w14:textId="5D156934" w:rsidR="007B6612" w:rsidRPr="007B6612" w:rsidRDefault="007B6612" w:rsidP="007B6612">
      <w:pPr>
        <w:spacing w:line="360" w:lineRule="auto"/>
        <w:ind w:firstLine="709"/>
        <w:contextualSpacing/>
        <w:jc w:val="both"/>
        <w:rPr>
          <w:rFonts w:ascii="Times New Roman" w:hAnsi="Times New Roman" w:cs="Times New Roman"/>
          <w:sz w:val="32"/>
          <w:szCs w:val="32"/>
          <w:lang w:val="en-US"/>
        </w:rPr>
      </w:pPr>
    </w:p>
    <w:p w14:paraId="76332EF7" w14:textId="7777777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З огляду на наведений аналіз, для реалізації інформаційної системи управління онлайн-курсом доцільно використовувати реляційну базу даних. Вона забезпечує необхідний рівень структурованості, підтримує зв’язки між </w:t>
      </w:r>
      <w:r w:rsidRPr="007B6612">
        <w:rPr>
          <w:rFonts w:ascii="Times New Roman" w:hAnsi="Times New Roman" w:cs="Times New Roman"/>
          <w:sz w:val="28"/>
          <w:szCs w:val="28"/>
        </w:rPr>
        <w:lastRenderedPageBreak/>
        <w:t>сутностями та гарантує цілісність операцій. Крім того, така модель є зрозумілою з точки зору подальшого адміністрування та супроводу.</w:t>
      </w:r>
    </w:p>
    <w:p w14:paraId="249DA75A" w14:textId="7777777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Серед конкретних систем управління базами даних можна розглянути </w:t>
      </w:r>
      <w:proofErr w:type="spellStart"/>
      <w:r w:rsidRPr="007B6612">
        <w:rPr>
          <w:rFonts w:ascii="Times New Roman" w:hAnsi="Times New Roman" w:cs="Times New Roman"/>
          <w:sz w:val="28"/>
          <w:szCs w:val="28"/>
        </w:rPr>
        <w:t>PostgreSQL</w:t>
      </w:r>
      <w:proofErr w:type="spellEnd"/>
      <w:r w:rsidRPr="007B6612">
        <w:rPr>
          <w:rFonts w:ascii="Times New Roman" w:hAnsi="Times New Roman" w:cs="Times New Roman"/>
          <w:sz w:val="28"/>
          <w:szCs w:val="28"/>
        </w:rPr>
        <w:t xml:space="preserve"> або </w:t>
      </w:r>
      <w:proofErr w:type="spellStart"/>
      <w:r w:rsidRPr="007B6612">
        <w:rPr>
          <w:rFonts w:ascii="Times New Roman" w:hAnsi="Times New Roman" w:cs="Times New Roman"/>
          <w:sz w:val="28"/>
          <w:szCs w:val="28"/>
        </w:rPr>
        <w:t>MySQL</w:t>
      </w:r>
      <w:proofErr w:type="spellEnd"/>
      <w:r w:rsidRPr="007B6612">
        <w:rPr>
          <w:rFonts w:ascii="Times New Roman" w:hAnsi="Times New Roman" w:cs="Times New Roman"/>
          <w:sz w:val="28"/>
          <w:szCs w:val="28"/>
        </w:rPr>
        <w:t>. Обидві підтримують стандарт SQL, дозволяють створювати індекси для оптимізації запитів і забезпечують стабільну роботу при значній кількості користувачів. В межах даного проєкту вибір конкретної СУБД не є критичним, оскільки функціональні вимоги можуть бути реалізовані в обох системах.</w:t>
      </w:r>
    </w:p>
    <w:p w14:paraId="4F29F7A5" w14:textId="77777777" w:rsidR="007B6612" w:rsidRPr="007B6612" w:rsidRDefault="007B6612" w:rsidP="007B6612">
      <w:pPr>
        <w:spacing w:line="360" w:lineRule="auto"/>
        <w:ind w:firstLine="709"/>
        <w:contextualSpacing/>
        <w:jc w:val="both"/>
        <w:rPr>
          <w:rFonts w:ascii="Times New Roman" w:hAnsi="Times New Roman" w:cs="Times New Roman"/>
          <w:sz w:val="28"/>
          <w:szCs w:val="28"/>
        </w:rPr>
      </w:pPr>
      <w:r w:rsidRPr="007B6612">
        <w:rPr>
          <w:rFonts w:ascii="Times New Roman" w:hAnsi="Times New Roman" w:cs="Times New Roman"/>
          <w:sz w:val="28"/>
          <w:szCs w:val="28"/>
        </w:rPr>
        <w:t xml:space="preserve">Отже, обрана реляційна модель зберігання даних </w:t>
      </w:r>
      <w:proofErr w:type="spellStart"/>
      <w:r w:rsidRPr="007B6612">
        <w:rPr>
          <w:rFonts w:ascii="Times New Roman" w:hAnsi="Times New Roman" w:cs="Times New Roman"/>
          <w:sz w:val="28"/>
          <w:szCs w:val="28"/>
        </w:rPr>
        <w:t>логічно</w:t>
      </w:r>
      <w:proofErr w:type="spellEnd"/>
      <w:r w:rsidRPr="007B6612">
        <w:rPr>
          <w:rFonts w:ascii="Times New Roman" w:hAnsi="Times New Roman" w:cs="Times New Roman"/>
          <w:sz w:val="28"/>
          <w:szCs w:val="28"/>
        </w:rPr>
        <w:t xml:space="preserve"> випливає зі структури розробленої ER-діаграми та відповідає вимогам до надійності, узгодженості та передбачуваності роботи системи. Вона забезпечує основу для подальшого розвитку платформи та створює умови для ефективного масштабування, що буде розглянуто в наступному розділі.</w:t>
      </w:r>
    </w:p>
    <w:p w14:paraId="6BF2EDA0" w14:textId="77777777" w:rsidR="00564A98" w:rsidRPr="007B6612" w:rsidRDefault="00564A98" w:rsidP="007B6612"/>
    <w:sectPr w:rsidR="00564A98" w:rsidRPr="007B661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98"/>
    <w:rsid w:val="00564A98"/>
    <w:rsid w:val="007B6612"/>
    <w:rsid w:val="00926161"/>
    <w:rsid w:val="00C37B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0431"/>
  <w15:chartTrackingRefBased/>
  <w15:docId w15:val="{E5D11720-0FCF-43F1-8FD5-F9B4C3D1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4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4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4A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4A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4A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4A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4A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4A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4A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4A9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4A9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4A9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4A9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4A9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4A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4A98"/>
    <w:rPr>
      <w:rFonts w:eastAsiaTheme="majorEastAsia" w:cstheme="majorBidi"/>
      <w:color w:val="595959" w:themeColor="text1" w:themeTint="A6"/>
    </w:rPr>
  </w:style>
  <w:style w:type="character" w:customStyle="1" w:styleId="80">
    <w:name w:val="Заголовок 8 Знак"/>
    <w:basedOn w:val="a0"/>
    <w:link w:val="8"/>
    <w:uiPriority w:val="9"/>
    <w:semiHidden/>
    <w:rsid w:val="00564A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4A98"/>
    <w:rPr>
      <w:rFonts w:eastAsiaTheme="majorEastAsia" w:cstheme="majorBidi"/>
      <w:color w:val="272727" w:themeColor="text1" w:themeTint="D8"/>
    </w:rPr>
  </w:style>
  <w:style w:type="paragraph" w:styleId="a3">
    <w:name w:val="Title"/>
    <w:basedOn w:val="a"/>
    <w:next w:val="a"/>
    <w:link w:val="a4"/>
    <w:uiPriority w:val="10"/>
    <w:qFormat/>
    <w:rsid w:val="00564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64A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A9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64A9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4A98"/>
    <w:pPr>
      <w:spacing w:before="160"/>
      <w:jc w:val="center"/>
    </w:pPr>
    <w:rPr>
      <w:i/>
      <w:iCs/>
      <w:color w:val="404040" w:themeColor="text1" w:themeTint="BF"/>
    </w:rPr>
  </w:style>
  <w:style w:type="character" w:customStyle="1" w:styleId="a8">
    <w:name w:val="Цитата Знак"/>
    <w:basedOn w:val="a0"/>
    <w:link w:val="a7"/>
    <w:uiPriority w:val="29"/>
    <w:rsid w:val="00564A98"/>
    <w:rPr>
      <w:i/>
      <w:iCs/>
      <w:color w:val="404040" w:themeColor="text1" w:themeTint="BF"/>
    </w:rPr>
  </w:style>
  <w:style w:type="paragraph" w:styleId="a9">
    <w:name w:val="List Paragraph"/>
    <w:basedOn w:val="a"/>
    <w:uiPriority w:val="34"/>
    <w:qFormat/>
    <w:rsid w:val="00564A98"/>
    <w:pPr>
      <w:ind w:left="720"/>
      <w:contextualSpacing/>
    </w:pPr>
  </w:style>
  <w:style w:type="character" w:styleId="aa">
    <w:name w:val="Intense Emphasis"/>
    <w:basedOn w:val="a0"/>
    <w:uiPriority w:val="21"/>
    <w:qFormat/>
    <w:rsid w:val="00564A98"/>
    <w:rPr>
      <w:i/>
      <w:iCs/>
      <w:color w:val="0F4761" w:themeColor="accent1" w:themeShade="BF"/>
    </w:rPr>
  </w:style>
  <w:style w:type="paragraph" w:styleId="ab">
    <w:name w:val="Intense Quote"/>
    <w:basedOn w:val="a"/>
    <w:next w:val="a"/>
    <w:link w:val="ac"/>
    <w:uiPriority w:val="30"/>
    <w:qFormat/>
    <w:rsid w:val="00564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64A98"/>
    <w:rPr>
      <w:i/>
      <w:iCs/>
      <w:color w:val="0F4761" w:themeColor="accent1" w:themeShade="BF"/>
    </w:rPr>
  </w:style>
  <w:style w:type="character" w:styleId="ad">
    <w:name w:val="Intense Reference"/>
    <w:basedOn w:val="a0"/>
    <w:uiPriority w:val="32"/>
    <w:qFormat/>
    <w:rsid w:val="00564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2742</Words>
  <Characters>1563</Characters>
  <Application>Microsoft Office Word</Application>
  <DocSecurity>0</DocSecurity>
  <Lines>13</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2026-03-05T15:26:00Z</dcterms:created>
  <dcterms:modified xsi:type="dcterms:W3CDTF">2026-03-05T15:40:00Z</dcterms:modified>
</cp:coreProperties>
</file>