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300"/>
        <w:jc w:val="center"/>
      </w:pPr>
      <w:r>
        <w:rPr>
          <w:rFonts w:ascii="Times New Roman" w:cs="Times New Roman" w:eastAsia="Times New Roman" w:hAnsi="Times New Roman"/>
          <w:b/>
          <w:bCs/>
          <w:color w:val="1A1A1A"/>
          <w:sz w:val="28"/>
          <w:szCs w:val="28"/>
        </w:rPr>
        <w:t xml:space="preserve">CITATION FRAUD DETECTOR: БАГАТОРІВНЕВА СИСТЕМА ДЕТЕКЦІЇ АНОМАЛЬНИХ ПАТЕРНІВ ЦИТУВАННЯ У НАУКОМЕТРИЧНИХ БАЗАХ ДАНИХ</w:t>
      </w:r>
    </w:p>
    <w:p>
      <w:pPr>
        <w:spacing w:after="100"/>
        <w:jc w:val="center"/>
      </w:pPr>
      <w:r>
        <w:rPr>
          <w:rFonts w:ascii="Times New Roman" w:cs="Times New Roman" w:eastAsia="Times New Roman" w:hAnsi="Times New Roman"/>
          <w:i/>
          <w:iCs/>
          <w:color w:val="1A1A1A"/>
          <w:sz w:val="24"/>
          <w:szCs w:val="24"/>
        </w:rPr>
        <w:t xml:space="preserve">CITATION FRAUD DETECTOR: A MULTI-LEVEL SYSTEM FOR DETECTING ANOMALOUS CITATION PATTERNS IN SCIENTOMETRIC DATABASES</w:t>
      </w:r>
    </w:p>
    <w:p>
      <w:pPr>
        <w:spacing w:after="60"/>
      </w:pPr>
    </w:p>
    <w:p>
      <w:pPr>
        <w:pBdr>
          <w:bottom w:val="single" w:color="CCCCCC" w:sz="2" w:space="8"/>
        </w:pBdr>
        <w:spacing w:after="400"/>
        <w:jc w:val="center"/>
      </w:pPr>
      <w:r>
        <w:rPr>
          <w:rFonts w:ascii="Times New Roman" w:cs="Times New Roman" w:eastAsia="Times New Roman" w:hAnsi="Times New Roman"/>
          <w:color w:val="1A1A1A"/>
          <w:sz w:val="24"/>
          <w:szCs w:val="24"/>
        </w:rPr>
        <w:t xml:space="preserve"> </w:t>
      </w:r>
    </w:p>
    <w:p>
      <w:pPr>
        <w:pStyle w:val="Heading1"/>
        <w:spacing w:before="400" w:after="200"/>
      </w:pPr>
      <w:r>
        <w:rPr>
          <w:rFonts w:ascii="Times New Roman" w:cs="Times New Roman" w:eastAsia="Times New Roman" w:hAnsi="Times New Roman"/>
          <w:b/>
          <w:bCs/>
          <w:color w:val="1A1A1A"/>
          <w:sz w:val="26"/>
          <w:szCs w:val="26"/>
        </w:rPr>
        <w:t xml:space="preserve">Анотація</w:t>
      </w:r>
    </w:p>
    <w:p>
      <w:pPr>
        <w:spacing w:after="120" w:line="360"/>
        <w:ind w:firstLine="480"/>
        <w:jc w:val="both"/>
      </w:pPr>
      <w:r>
        <w:rPr>
          <w:rFonts w:ascii="Times New Roman" w:cs="Times New Roman" w:eastAsia="Times New Roman" w:hAnsi="Times New Roman"/>
          <w:color w:val="1A1A1A"/>
          <w:sz w:val="24"/>
          <w:szCs w:val="24"/>
        </w:rPr>
        <w:t xml:space="preserve">У статті представлено архітектуру та алгоритмічне забезпечення аналітичної системи Citation Fraud Detector (CFD), призначеної для автоматизованого виявлення маніпуляцій із наукометричними показниками. На відміну від існуючих інструментів, що оперують переважно агрегованими метриками, запропонована система поєднує графовий аналіз цитатних мереж, темпоральну аналітику динаміки h-індексу, текстовий аналіз через sentence embeddings та крос-платформну верифікацію даних. Комплекс із п’ятнадцяти незалежних індикаторів маніпуляцій охоплює весь спектр відомих практик — від citation rings та self-citation stacking до salami slicing та coercive citation. Для уникнення хибних звинувачень запропоновано п’ятирівневу шкалу впевненості із зваженою агрегацією та алгоритм контекстуальної перевірки, що реалізує принцип «презумпції невинуватості». Описано трирівневу архітектуру зберігання даних та механізми інтеграції з університетськими інформаційними системами.</w:t>
      </w:r>
    </w:p>
    <w:p>
      <w:pPr>
        <w:spacing w:after="60"/>
      </w:pPr>
    </w:p>
    <w:p>
      <w:pPr>
        <w:spacing w:after="100" w:line="360"/>
        <w:jc w:val="both"/>
      </w:pPr>
      <w:r>
        <w:rPr>
          <w:rFonts w:ascii="Times New Roman" w:cs="Times New Roman" w:eastAsia="Times New Roman" w:hAnsi="Times New Roman"/>
          <w:b/>
          <w:bCs/>
          <w:color w:val="1A1A1A"/>
          <w:sz w:val="24"/>
          <w:szCs w:val="24"/>
        </w:rPr>
        <w:t xml:space="preserve">Ключові слова: </w:t>
      </w:r>
      <w:r>
        <w:rPr>
          <w:rFonts w:ascii="Times New Roman" w:cs="Times New Roman" w:eastAsia="Times New Roman" w:hAnsi="Times New Roman"/>
          <w:i/>
          <w:iCs/>
          <w:color w:val="1A1A1A"/>
          <w:sz w:val="24"/>
          <w:szCs w:val="24"/>
        </w:rPr>
        <w:t xml:space="preserve">наукометрія, детекція цитатного шахрайства, графовий аналіз, h-індекс, Neo4j, community detection, Fraud Score, salami slicing, citation ring.</w:t>
      </w:r>
    </w:p>
    <w:p>
      <w:r>
        <w:br w:type="page"/>
      </w:r>
    </w:p>
    <w:p>
      <w:pPr>
        <w:pStyle w:val="Heading1"/>
        <w:spacing w:before="400" w:after="200"/>
      </w:pPr>
      <w:r>
        <w:rPr>
          <w:rFonts w:ascii="Times New Roman" w:cs="Times New Roman" w:eastAsia="Times New Roman" w:hAnsi="Times New Roman"/>
          <w:b/>
          <w:bCs/>
          <w:color w:val="1A1A1A"/>
          <w:sz w:val="26"/>
          <w:szCs w:val="26"/>
        </w:rPr>
        <w:t xml:space="preserve">Abstract</w:t>
      </w:r>
    </w:p>
    <w:p>
      <w:pPr>
        <w:spacing w:after="120" w:line="360"/>
        <w:jc w:val="both"/>
      </w:pPr>
      <w:r>
        <w:rPr>
          <w:rFonts w:ascii="Times New Roman" w:cs="Times New Roman" w:eastAsia="Times New Roman" w:hAnsi="Times New Roman"/>
          <w:i/>
          <w:iCs/>
          <w:color w:val="1A1A1A"/>
          <w:sz w:val="24"/>
          <w:szCs w:val="24"/>
        </w:rPr>
        <w:t xml:space="preserve">This paper presents the architecture and algorithmic framework of the Citation Fraud Detector (CFD), an analytical system for automated detection of scientometric manipulation. Unlike existing tools that primarily operate on aggregate metrics, the proposed system combines citation network graph analysis, temporal h-index dynamics analytics, textual analysis via sentence embeddings, and cross-platform data verification. A suite of fifteen independent manipulation indicators covers the full spectrum of known practices, from citation rings and self-citation stacking to salami slicing and coercive citation. To prevent false accusations, a five-level confidence scale with weighted aggregation and a contextual verification algorithm implementing the “presumption of innocence” principle are proposed. The three-tier data storage architecture and integration mechanisms with university information systems are described.</w:t>
      </w:r>
    </w:p>
    <w:p>
      <w:pPr>
        <w:spacing w:after="60"/>
      </w:pPr>
    </w:p>
    <w:p>
      <w:pPr>
        <w:spacing w:after="100" w:line="360"/>
        <w:jc w:val="both"/>
      </w:pPr>
      <w:r>
        <w:rPr>
          <w:rFonts w:ascii="Times New Roman" w:cs="Times New Roman" w:eastAsia="Times New Roman" w:hAnsi="Times New Roman"/>
          <w:b/>
          <w:bCs/>
          <w:i/>
          <w:iCs/>
          <w:color w:val="1A1A1A"/>
          <w:sz w:val="24"/>
          <w:szCs w:val="24"/>
        </w:rPr>
        <w:t xml:space="preserve">Keywords: </w:t>
      </w:r>
      <w:r>
        <w:rPr>
          <w:rFonts w:ascii="Times New Roman" w:cs="Times New Roman" w:eastAsia="Times New Roman" w:hAnsi="Times New Roman"/>
          <w:i/>
          <w:iCs/>
          <w:color w:val="1A1A1A"/>
          <w:sz w:val="24"/>
          <w:szCs w:val="24"/>
        </w:rPr>
        <w:t xml:space="preserve">scientometrics, citation fraud detection, graph analysis, h-index, Neo4j, community detection, Fraud Score, salami slicing, citation ring.</w:t>
      </w:r>
    </w:p>
    <w:p>
      <w:r>
        <w:br w:type="page"/>
      </w:r>
    </w:p>
    <w:p>
      <w:pPr>
        <w:pStyle w:val="Heading1"/>
        <w:spacing w:before="400" w:after="200"/>
      </w:pPr>
      <w:r>
        <w:rPr>
          <w:rFonts w:ascii="Times New Roman" w:cs="Times New Roman" w:eastAsia="Times New Roman" w:hAnsi="Times New Roman"/>
          <w:b/>
          <w:bCs/>
          <w:color w:val="1A1A1A"/>
          <w:sz w:val="26"/>
          <w:szCs w:val="26"/>
        </w:rPr>
        <w:t xml:space="preserve">1. Вступ</w:t>
      </w:r>
    </w:p>
    <w:p>
      <w:pPr>
        <w:spacing w:after="120" w:line="360"/>
        <w:ind w:firstLine="480"/>
        <w:jc w:val="both"/>
      </w:pPr>
      <w:r>
        <w:rPr>
          <w:rFonts w:ascii="Times New Roman" w:cs="Times New Roman" w:eastAsia="Times New Roman" w:hAnsi="Times New Roman"/>
          <w:color w:val="1A1A1A"/>
          <w:sz w:val="24"/>
          <w:szCs w:val="24"/>
        </w:rPr>
        <w:t xml:space="preserve">Сучасна наука функціонує в парадигмі кількісного оцінювання. Рішення про фінансування досліджень, присудження наукових ступенів, зарахування на академічні посади та розподіл грантів значною мірою спираються на наукометричні показники — передусім h-індекс Гірша [1], кількість цитувань та імпакт-фактор журналу. Ця залежність, яку Goodhart’s Law описує формулою «коли міра стає ціллю, вона перестає бути хорошою мірою» [2], створює потужний стимул для маніпулювання показниками.</w:t>
      </w:r>
    </w:p>
    <w:p>
      <w:pPr>
        <w:spacing w:after="120" w:line="360"/>
        <w:ind w:firstLine="480"/>
        <w:jc w:val="both"/>
      </w:pPr>
      <w:r>
        <w:rPr>
          <w:rFonts w:ascii="Times New Roman" w:cs="Times New Roman" w:eastAsia="Times New Roman" w:hAnsi="Times New Roman"/>
          <w:color w:val="1A1A1A"/>
          <w:sz w:val="24"/>
          <w:szCs w:val="24"/>
        </w:rPr>
        <w:t xml:space="preserve">Масштаб проблеми є значним. За даними Retraction Watch, кількість відкликаних наукових статей зростає експоненційно: якщо у 2000 році було зафіксовано близько 50 відкликань, то до 2023 року ця цифра перевищила 10 000 на рік [3]. Дослідження Ioannidis та співавторів [4] продемонструвало, що щонайменше 2% авторів у базі Scopus мають аномально високий рівень самоцитування, а Fister зі співавторами [5] виявили структуровані citation cartels у мережах цитування кількох наукових дисциплін. Biagioli та Lippman [6] у фундаментальній монографії «Gaming the Metrics» систематизували різноманітні практики маніпуляцій, показавши, що проблема є не виключенням, а системною рисою сучасної академічної культури.</w:t>
      </w:r>
    </w:p>
    <w:p>
      <w:pPr>
        <w:spacing w:after="120" w:line="360"/>
        <w:ind w:firstLine="480"/>
        <w:jc w:val="both"/>
      </w:pPr>
      <w:r>
        <w:rPr>
          <w:rFonts w:ascii="Times New Roman" w:cs="Times New Roman" w:eastAsia="Times New Roman" w:hAnsi="Times New Roman"/>
          <w:color w:val="1A1A1A"/>
          <w:sz w:val="24"/>
          <w:szCs w:val="24"/>
        </w:rPr>
        <w:t xml:space="preserve">Серед найбільш поширених форм маніпуляцій виділяють citation rings — групи авторів, які систематично цитують один одного за попередньою домовленістю [7]; self-citation stacking — надмірне самоцитування, що може сягати 50–70% усіх посилань [8]; coercive citation — практику, коли журнали або рецензенти вимагають від авторів додаткових цитувань як умову публікації [9]; paper mills — організовані фабрики публікацій, що продукують сотні статей з фіктивними даними [10]; а також salami slicing — штучне розбиття одного дослідження на множину мінімальних публікацій [11].</w:t>
      </w:r>
    </w:p>
    <w:p>
      <w:pPr>
        <w:spacing w:after="120" w:line="360"/>
        <w:ind w:firstLine="480"/>
        <w:jc w:val="both"/>
      </w:pPr>
      <w:r>
        <w:rPr>
          <w:rFonts w:ascii="Times New Roman" w:cs="Times New Roman" w:eastAsia="Times New Roman" w:hAnsi="Times New Roman"/>
          <w:color w:val="1A1A1A"/>
          <w:sz w:val="24"/>
          <w:szCs w:val="24"/>
        </w:rPr>
        <w:t xml:space="preserve">Існуючі інструменти для виявлення маніпуляцій мають суттєві обмеження. Clarivate’s Journal Citation Reports та Scopus Author Analyzer зосереджені на агрегованих метриках і не здатні виявити приховані структурні патерни в мережах цитувань. Інструменти на кшталт CiteScore та SJR оперують на рівні журналів, а не окремих авторів [12]. Академічні прототипи, такі як роботи Kojaku та Masuda [13] або Fang зі співавторами [14], демонструють окремі методологічні підходи, але не пропонують інтегрованого рішення.</w:t>
      </w:r>
    </w:p>
    <w:p>
      <w:pPr>
        <w:spacing w:after="120" w:line="360"/>
        <w:ind w:firstLine="480"/>
        <w:jc w:val="both"/>
      </w:pPr>
      <w:r>
        <w:rPr>
          <w:rFonts w:ascii="Times New Roman" w:cs="Times New Roman" w:eastAsia="Times New Roman" w:hAnsi="Times New Roman"/>
          <w:color w:val="1A1A1A"/>
          <w:sz w:val="24"/>
          <w:szCs w:val="24"/>
        </w:rPr>
        <w:t xml:space="preserve">Мета даної роботи — представити архітектуру та алгоритмічне забезпечення системи Citation Fraud Detector (CFD), яка реалізує комплексний підхід до виявлення маніпуляцій. Система поєднує графовий аналіз цитатних мереж у графовій базі даних Neo4j, темпоральну аналітику з урахуванням закону старіння наукової літератури Price [15], текстовий аналіз публікацій через sentence embeddings для детекції salami slicing, крос-платформну верифікацію даних та контекстуальний аналіз, що розрізняє легітимне вибухове зростання від маніпулятивного. Фундаментальним принципом системи є «презумпція невинуватості»: підвищення рівня тривоги відбувається лише при одночасному спрацюванні трьох або більше незалежних індикаторів.</w:t>
      </w:r>
    </w:p>
    <w:p>
      <w:pPr>
        <w:pStyle w:val="Heading1"/>
        <w:spacing w:before="400" w:after="200"/>
      </w:pPr>
      <w:r>
        <w:rPr>
          <w:rFonts w:ascii="Times New Roman" w:cs="Times New Roman" w:eastAsia="Times New Roman" w:hAnsi="Times New Roman"/>
          <w:b/>
          <w:bCs/>
          <w:color w:val="1A1A1A"/>
          <w:sz w:val="26"/>
          <w:szCs w:val="26"/>
        </w:rPr>
        <w:t xml:space="preserve">2. Огляд літератури</w:t>
      </w:r>
    </w:p>
    <w:p>
      <w:pPr>
        <w:pStyle w:val="Heading2"/>
        <w:spacing w:before="320" w:after="160"/>
      </w:pPr>
      <w:r>
        <w:rPr>
          <w:rFonts w:ascii="Times New Roman" w:cs="Times New Roman" w:eastAsia="Times New Roman" w:hAnsi="Times New Roman"/>
          <w:b/>
          <w:bCs/>
          <w:color w:val="1A1A1A"/>
          <w:sz w:val="24"/>
          <w:szCs w:val="24"/>
        </w:rPr>
        <w:t xml:space="preserve">2.1. Становлення та критика наукометричних показників</w:t>
      </w:r>
    </w:p>
    <w:p>
      <w:pPr>
        <w:spacing w:after="120" w:line="360"/>
        <w:ind w:firstLine="480"/>
        <w:jc w:val="both"/>
      </w:pPr>
      <w:r>
        <w:rPr>
          <w:rFonts w:ascii="Times New Roman" w:cs="Times New Roman" w:eastAsia="Times New Roman" w:hAnsi="Times New Roman"/>
          <w:color w:val="1A1A1A"/>
          <w:sz w:val="24"/>
          <w:szCs w:val="24"/>
        </w:rPr>
        <w:t xml:space="preserve">Ідея використання цитувань як міри наукового впливу була вперше запропонована Garfield у 1955 році [16], який створив Science Citation Index — першу систематичну базу даних цитувань. П’ятдесят років потому Hirsch [1] запропонував h-індекс — елегантну метрику, що поєднує продуктивність та вплив дослідника в одному числі. Простота та інтуїтивність h-індексу забезпечили його стрімке поширення: протягом кількох років він став де-факто стандартом оцінювання в більшості наукових дисциплін [17].</w:t>
      </w:r>
    </w:p>
    <w:p>
      <w:pPr>
        <w:spacing w:after="120" w:line="360"/>
        <w:ind w:firstLine="480"/>
        <w:jc w:val="both"/>
      </w:pPr>
      <w:r>
        <w:rPr>
          <w:rFonts w:ascii="Times New Roman" w:cs="Times New Roman" w:eastAsia="Times New Roman" w:hAnsi="Times New Roman"/>
          <w:color w:val="1A1A1A"/>
          <w:sz w:val="24"/>
          <w:szCs w:val="24"/>
        </w:rPr>
        <w:t xml:space="preserve">Однак уже невдовзі після впровадження h-індексу дослідники почали фіксувати його вразливості. Bartneck та Kokkelmans [18] експериментально продемонстрували, що h-індекс можна штучно підвищити через координоване самоцитування. Egghe [19] показав математичні обмеження індексу, зокрема його нечутливість до розподілу цитувань серед високоцитованих публікацій. Waltman та van Eck [20] запропонували нормалізовані варіанти, проте жоден з них не набув такого ж поширення, як оригінальний h-індекс.</w:t>
      </w:r>
    </w:p>
    <w:p>
      <w:pPr>
        <w:spacing w:after="120" w:line="360"/>
        <w:ind w:firstLine="480"/>
        <w:jc w:val="both"/>
      </w:pPr>
      <w:r>
        <w:rPr>
          <w:rFonts w:ascii="Times New Roman" w:cs="Times New Roman" w:eastAsia="Times New Roman" w:hAnsi="Times New Roman"/>
          <w:color w:val="1A1A1A"/>
          <w:sz w:val="24"/>
          <w:szCs w:val="24"/>
        </w:rPr>
        <w:t xml:space="preserve">Критика метрик стала ще гострішою з появою Лейденського маніфесту [21], автори якого сформулювали десять принципів відповідального використання наукометричних показників. Маніфест наголошує, що кількісні метрики повинні доповнювати, а не замінювати експертну оцінку, і що надмірна залежність від показників створює perverse incentives для маніпуляцій. Декларація DORA [22] пішла ще далі, закликавши відмовитися від використання імпакт-фактору журналу як мірила якості окремих публікацій.</w:t>
      </w:r>
    </w:p>
    <w:p>
      <w:pPr>
        <w:pStyle w:val="Heading2"/>
        <w:spacing w:before="320" w:after="160"/>
      </w:pPr>
      <w:r>
        <w:rPr>
          <w:rFonts w:ascii="Times New Roman" w:cs="Times New Roman" w:eastAsia="Times New Roman" w:hAnsi="Times New Roman"/>
          <w:b/>
          <w:bCs/>
          <w:color w:val="1A1A1A"/>
          <w:sz w:val="24"/>
          <w:szCs w:val="24"/>
        </w:rPr>
        <w:t xml:space="preserve">2.2. Таксономія маніпуляцій із цитуваннями</w:t>
      </w:r>
    </w:p>
    <w:p>
      <w:pPr>
        <w:spacing w:after="120" w:line="360"/>
        <w:ind w:firstLine="480"/>
        <w:jc w:val="both"/>
      </w:pPr>
      <w:r>
        <w:rPr>
          <w:rFonts w:ascii="Times New Roman" w:cs="Times New Roman" w:eastAsia="Times New Roman" w:hAnsi="Times New Roman"/>
          <w:color w:val="1A1A1A"/>
          <w:sz w:val="24"/>
          <w:szCs w:val="24"/>
        </w:rPr>
        <w:t xml:space="preserve">Систематична класифікація citation manipulation була запропонована Fister зі співавторами [5], які виділили чотири основні категорії: індивідуальне самоцитування, координоване взаємне цитування (citation rings), coercive citation з боку журналів та організовані paper mills. Biagioli та Lippman [6] доповнили цю таксономію поняттям citation farming — систематичного нарощування цитувань через координовані дії групи авторів, що не обов’язково утворюють формальний ring.</w:t>
      </w:r>
    </w:p>
    <w:p>
      <w:pPr>
        <w:spacing w:after="120" w:line="360"/>
        <w:ind w:firstLine="480"/>
        <w:jc w:val="both"/>
      </w:pPr>
      <w:r>
        <w:rPr>
          <w:rFonts w:ascii="Times New Roman" w:cs="Times New Roman" w:eastAsia="Times New Roman" w:hAnsi="Times New Roman"/>
          <w:color w:val="1A1A1A"/>
          <w:sz w:val="24"/>
          <w:szCs w:val="24"/>
        </w:rPr>
        <w:t xml:space="preserve">Wilhite та Fong [9] у масштабному дослідженні, опублікованому в Science, виявили, що приблизно 20% авторів повідомляли про випадки coercive citation — ситуації, коли рецензент або редактор журналу вимагав додаткових цитувань як умову прийняття рукопису. Цей тип маніпуляції є особливо підступним, оскільки він інституціоналізований і важко піддається виявленню стандартними методами. Martin [23] запропонував поняття «coercive citation ratio» — метрику для кількісної оцінки тиску з боку журналів.</w:t>
      </w:r>
    </w:p>
    <w:p>
      <w:pPr>
        <w:spacing w:after="120" w:line="360"/>
        <w:ind w:firstLine="480"/>
        <w:jc w:val="both"/>
      </w:pPr>
      <w:r>
        <w:rPr>
          <w:rFonts w:ascii="Times New Roman" w:cs="Times New Roman" w:eastAsia="Times New Roman" w:hAnsi="Times New Roman"/>
          <w:color w:val="1A1A1A"/>
          <w:sz w:val="24"/>
          <w:szCs w:val="24"/>
        </w:rPr>
        <w:t xml:space="preserve">Окремою категорією є paper mills — комерційні організації, що масово виробляють наукові статті з фіктивними або сфабрикованими даними. Byrne та Christopher [10] оцінили, що до 2% усіх статей у біомедичних базах даних можуть походити з paper mills. Ці публікації зазвичай цитують одна одну, створюючи замкнені кластери, які можна виявити через графовий аналіз. Cabanac та Labbé [24] розробили статистичні методи для ідентифікації таких кластерів на основі аналізу текстової подібності.</w:t>
      </w:r>
    </w:p>
    <w:p>
      <w:pPr>
        <w:pStyle w:val="Heading2"/>
        <w:spacing w:before="320" w:after="160"/>
      </w:pPr>
      <w:r>
        <w:rPr>
          <w:rFonts w:ascii="Times New Roman" w:cs="Times New Roman" w:eastAsia="Times New Roman" w:hAnsi="Times New Roman"/>
          <w:b/>
          <w:bCs/>
          <w:color w:val="1A1A1A"/>
          <w:sz w:val="24"/>
          <w:szCs w:val="24"/>
        </w:rPr>
        <w:t xml:space="preserve">2.3. Мережевий аналіз наукових цитувань</w:t>
      </w:r>
    </w:p>
    <w:p>
      <w:pPr>
        <w:spacing w:after="120" w:line="360"/>
        <w:ind w:firstLine="480"/>
        <w:jc w:val="both"/>
      </w:pPr>
      <w:r>
        <w:rPr>
          <w:rFonts w:ascii="Times New Roman" w:cs="Times New Roman" w:eastAsia="Times New Roman" w:hAnsi="Times New Roman"/>
          <w:color w:val="1A1A1A"/>
          <w:sz w:val="24"/>
          <w:szCs w:val="24"/>
        </w:rPr>
        <w:t xml:space="preserve">Графовий підхід до аналізу наукових мереж має давню традицію. Newman [25] одним із перших застосував теорію складних мереж до аналізу наукових колаборацій, продемонструвавши, що мережі співавторства мають властивість «малого світу» та масштабно-інваріантний розподіл ступенів. Barabási та Albert [26] показали, що ці мережі зростають за принципом преференційного приєднання, де нові зв’язки тяжіють до вузлів із вже високим ступенем.</w:t>
      </w:r>
    </w:p>
    <w:p>
      <w:pPr>
        <w:spacing w:after="120" w:line="360"/>
        <w:ind w:firstLine="480"/>
        <w:jc w:val="both"/>
      </w:pPr>
      <w:r>
        <w:rPr>
          <w:rFonts w:ascii="Times New Roman" w:cs="Times New Roman" w:eastAsia="Times New Roman" w:hAnsi="Times New Roman"/>
          <w:color w:val="1A1A1A"/>
          <w:sz w:val="24"/>
          <w:szCs w:val="24"/>
        </w:rPr>
        <w:t xml:space="preserve">Для аналізу спільнот у мережах Blondel зі співавторами [27] запропонували алгоритм Лувена — ефективний метод community detection, що оптимізує модулярність. Цей алгоритм було адаптовано для виявлення citation clusters: аномально щільні спільноти у цитатному графі, де внутрішня інтенсивність цитувань суттєво перевищує зовнішню, є потенційними citation rings. Kojaku та Masuda [13] розвинули цей підхід, запропонувавши статистичний тест для визначення значущості окремих спільнот.</w:t>
      </w:r>
    </w:p>
    <w:p>
      <w:pPr>
        <w:spacing w:after="120" w:line="360"/>
        <w:ind w:firstLine="480"/>
        <w:jc w:val="both"/>
      </w:pPr>
      <w:r>
        <w:rPr>
          <w:rFonts w:ascii="Times New Roman" w:cs="Times New Roman" w:eastAsia="Times New Roman" w:hAnsi="Times New Roman"/>
          <w:color w:val="1A1A1A"/>
          <w:sz w:val="24"/>
          <w:szCs w:val="24"/>
        </w:rPr>
        <w:t xml:space="preserve">Аналіз клік (повних підграфів) у цитатних мережах був запропонований як метод виявлення координованих маніпуляцій: якщо група з k авторів утворює кліку — тобто кожен цитує кожного — це є сильним індикатором домовленості, особливо при k ≥ 4 [14]. PageRank, адаптований Google для ранжування вебсторінок [28], також знайшов застосування в аналізі цитувань: він дозволяє оцінити «справжній» вплив публікації з урахуванням ваги цитуючих джерел. Ma зі співавторами [29] продемонстрували ефективність PageRank для виявлення аномально впливових публікацій у підозрілих кластерах.</w:t>
      </w:r>
    </w:p>
    <w:p>
      <w:pPr>
        <w:pStyle w:val="Heading2"/>
        <w:spacing w:before="320" w:after="160"/>
      </w:pPr>
      <w:r>
        <w:rPr>
          <w:rFonts w:ascii="Times New Roman" w:cs="Times New Roman" w:eastAsia="Times New Roman" w:hAnsi="Times New Roman"/>
          <w:b/>
          <w:bCs/>
          <w:color w:val="1A1A1A"/>
          <w:sz w:val="24"/>
          <w:szCs w:val="24"/>
        </w:rPr>
        <w:t xml:space="preserve">2.4. Темпоральний аналіз та закон старіння літератури</w:t>
      </w:r>
    </w:p>
    <w:p>
      <w:pPr>
        <w:spacing w:after="120" w:line="360"/>
        <w:ind w:firstLine="480"/>
        <w:jc w:val="both"/>
      </w:pPr>
      <w:r>
        <w:rPr>
          <w:rFonts w:ascii="Times New Roman" w:cs="Times New Roman" w:eastAsia="Times New Roman" w:hAnsi="Times New Roman"/>
          <w:color w:val="1A1A1A"/>
          <w:sz w:val="24"/>
          <w:szCs w:val="24"/>
        </w:rPr>
        <w:t xml:space="preserve">Price [15] сформулював емпіричний закон старіння наукової літератури, згідно з яким цитування публікації з часом зменшуються за напівекспоненційним розподілом. Відхилення від цього закону — зокрема, раптове зростання цитувань старої статті через п’ять-десять років після публікації без очевидної причини — може свідчити про штучне «підкачування» (citation farming).</w:t>
      </w:r>
    </w:p>
    <w:p>
      <w:pPr>
        <w:spacing w:after="120" w:line="360"/>
        <w:ind w:firstLine="480"/>
        <w:jc w:val="both"/>
      </w:pPr>
      <w:r>
        <w:rPr>
          <w:rFonts w:ascii="Times New Roman" w:cs="Times New Roman" w:eastAsia="Times New Roman" w:hAnsi="Times New Roman"/>
          <w:color w:val="1A1A1A"/>
          <w:sz w:val="24"/>
          <w:szCs w:val="24"/>
        </w:rPr>
        <w:t xml:space="preserve">Van Raan [30] ввів поняття «Sleeping Beauties in Science» — статей, які тривалий час залишаються непоміченими, а потім раптово «прокидаються» і починають активно цитуватися. Ke зі співавторами [31] запропонували кількісну міру — Beauty Coefficient — для ідентифікації таких статей та показали, що цей феномен зустрічається частіше, ніж вважалося раніше. Parolo зі співавторами [32] дослідили темпоральні патерни цитування на масивному датасеті та виявили, що «пік цитувань» більшості статей припадає на 3–5 рік після публікації, після чого починається поступовий спад.</w:t>
      </w:r>
    </w:p>
    <w:p>
      <w:pPr>
        <w:spacing w:after="120" w:line="360"/>
        <w:ind w:firstLine="480"/>
        <w:jc w:val="both"/>
      </w:pPr>
      <w:r>
        <w:rPr>
          <w:rFonts w:ascii="Times New Roman" w:cs="Times New Roman" w:eastAsia="Times New Roman" w:hAnsi="Times New Roman"/>
          <w:color w:val="1A1A1A"/>
          <w:sz w:val="24"/>
          <w:szCs w:val="24"/>
        </w:rPr>
        <w:t xml:space="preserve">Для аналізу динаміки h-індексу Hirsch [33] запропонував параметр m — прогнозований темп зростання h-індексу, який залежить від дисципліни, продуктивності автора та якості його робіт. Liang [34] дослідив розподіл темпів зростання h-індексу та показав, що для більшості дослідників h(t) зростає приблизно як квадратний корінь від часу, що дає теоретичну базу для виявлення аномальних відхилень.</w:t>
      </w:r>
    </w:p>
    <w:p>
      <w:pPr>
        <w:spacing w:after="120" w:line="360"/>
        <w:ind w:firstLine="480"/>
        <w:jc w:val="both"/>
      </w:pPr>
      <w:r>
        <w:rPr>
          <w:rFonts w:ascii="Times New Roman" w:cs="Times New Roman" w:eastAsia="Times New Roman" w:hAnsi="Times New Roman"/>
          <w:color w:val="1A1A1A"/>
          <w:sz w:val="24"/>
          <w:szCs w:val="24"/>
        </w:rPr>
        <w:t xml:space="preserve">Існуючі підходи, розглянуті вище, зосереджуються на окремих аспектах проблеми. Дана робота відрізняється комплексністю: вона поєднує графовий аналіз у нативній графовій базі даних, темпоральну аналітику, текстовий аналіз та крос-платформну верифікацію в єдиному аналітичному pipeline з контекстуальною перевіркою, що розрізняє легітимні та маніпулятивні патерни.</w:t>
      </w:r>
    </w:p>
    <w:p>
      <w:pPr>
        <w:pStyle w:val="Heading1"/>
        <w:spacing w:before="400" w:after="200"/>
      </w:pPr>
      <w:r>
        <w:rPr>
          <w:rFonts w:ascii="Times New Roman" w:cs="Times New Roman" w:eastAsia="Times New Roman" w:hAnsi="Times New Roman"/>
          <w:b/>
          <w:bCs/>
          <w:color w:val="1A1A1A"/>
          <w:sz w:val="26"/>
          <w:szCs w:val="26"/>
        </w:rPr>
        <w:t xml:space="preserve">3. Архітектура системи</w:t>
      </w:r>
    </w:p>
    <w:p>
      <w:pPr>
        <w:pStyle w:val="Heading2"/>
        <w:spacing w:before="320" w:after="160"/>
      </w:pPr>
      <w:r>
        <w:rPr>
          <w:rFonts w:ascii="Times New Roman" w:cs="Times New Roman" w:eastAsia="Times New Roman" w:hAnsi="Times New Roman"/>
          <w:b/>
          <w:bCs/>
          <w:color w:val="1A1A1A"/>
          <w:sz w:val="24"/>
          <w:szCs w:val="24"/>
        </w:rPr>
        <w:t xml:space="preserve">3.1. Загальна концепція</w:t>
      </w:r>
    </w:p>
    <w:p>
      <w:pPr>
        <w:spacing w:after="120" w:line="360"/>
        <w:ind w:firstLine="480"/>
        <w:jc w:val="both"/>
      </w:pPr>
      <w:r>
        <w:rPr>
          <w:rFonts w:ascii="Times New Roman" w:cs="Times New Roman" w:eastAsia="Times New Roman" w:hAnsi="Times New Roman"/>
          <w:color w:val="1A1A1A"/>
          <w:sz w:val="24"/>
          <w:szCs w:val="24"/>
        </w:rPr>
        <w:t xml:space="preserve">Система Citation Fraud Detector побудована як послідовний аналітичний pipeline, що складається з п’яти функціональних модулів: збору даних, побудови графа, графового аналізу, детекції аномалій та візуалізації зі звітністю. Кожен модуль є автономним компонентом із чітко визначеним інтерфейсом, що забезпечує можливість незалежного тестування та заміни окремих алгоритмів без впливу на решту системи.</w:t>
      </w:r>
    </w:p>
    <w:p>
      <w:pPr>
        <w:spacing w:after="120" w:line="360"/>
        <w:ind w:firstLine="480"/>
        <w:jc w:val="both"/>
      </w:pPr>
      <w:r>
        <w:rPr>
          <w:rFonts w:ascii="Times New Roman" w:cs="Times New Roman" w:eastAsia="Times New Roman" w:hAnsi="Times New Roman"/>
          <w:color w:val="1A1A1A"/>
          <w:sz w:val="24"/>
          <w:szCs w:val="24"/>
        </w:rPr>
        <w:t xml:space="preserve">Модуль збору даних інтегрується з двома наукометричними базами — OpenAlex та Scopus — через абстрактний інтерфейс DataSourceStrategy, реалізований за патерном Strategy [35]. Це дозволяє користувачеві обирати джерело даних та забезпечує автоматичний fallback при недоступності одного з API. Критичною особливістю є збір часових міток кожного цитування вже на етапі первинного завантаження даних, оскільки ця інформація є фундаментальною для темпорального аналізу.</w:t>
      </w:r>
    </w:p>
    <w:p>
      <w:pPr>
        <w:pStyle w:val="Heading2"/>
        <w:spacing w:before="320" w:after="160"/>
      </w:pPr>
      <w:r>
        <w:rPr>
          <w:rFonts w:ascii="Times New Roman" w:cs="Times New Roman" w:eastAsia="Times New Roman" w:hAnsi="Times New Roman"/>
          <w:b/>
          <w:bCs/>
          <w:color w:val="1A1A1A"/>
          <w:sz w:val="24"/>
          <w:szCs w:val="24"/>
        </w:rPr>
        <w:t xml:space="preserve">3.2. Трирівнева модель зберігання даних</w:t>
      </w:r>
    </w:p>
    <w:p>
      <w:pPr>
        <w:spacing w:after="120" w:line="360"/>
        <w:ind w:firstLine="480"/>
        <w:jc w:val="both"/>
      </w:pPr>
      <w:r>
        <w:rPr>
          <w:rFonts w:ascii="Times New Roman" w:cs="Times New Roman" w:eastAsia="Times New Roman" w:hAnsi="Times New Roman"/>
          <w:color w:val="1A1A1A"/>
          <w:sz w:val="24"/>
          <w:szCs w:val="24"/>
        </w:rPr>
        <w:t xml:space="preserve">Ключовим архітектурним рішенням є трирівнева модель зберігання, де кожен рівень вирішує окреме завдання. Без постійного зберігання система функціонувала б як одноразовий калькулятор, нездатний відстежувати динаміку показників, порівнювати snapshot-и та підтримувати механізм Watch-list.</w:t>
      </w:r>
    </w:p>
    <w:p>
      <w:pPr>
        <w:spacing w:after="120" w:line="360"/>
        <w:ind w:firstLine="480"/>
        <w:jc w:val="both"/>
      </w:pPr>
      <w:r>
        <w:rPr>
          <w:rFonts w:ascii="Times New Roman" w:cs="Times New Roman" w:eastAsia="Times New Roman" w:hAnsi="Times New Roman"/>
          <w:color w:val="1A1A1A"/>
          <w:sz w:val="24"/>
          <w:szCs w:val="24"/>
        </w:rPr>
        <w:t xml:space="preserve">Перший рівень — кеш API-відповідей — зберігає сирі JSON-дані з налаштовуваним TTL (Time-To-Live), що усуває повторні звернення до зовнішніх API та значно прискорює інкрементальне оновлення. Другий рівень — аналітична реляційна база даних PostgreSQL із розширенням pgvector для зберігання sentence embeddings — містить десять нормалізованих таблиць: профілі авторів, метадані публікацій, зв’язки цитувань із часовими мітками, значення індикаторів, агреговані оцінки, історичні snapshot-и, конфігурацію Watch-list, групи двійників для Peer Benchmark, базові показники дисциплін та vectorні embeddings абстрактів. Третій рівень — графова база даних Neo4j із бібліотекою Graph Data Science (GDS) [36] — забезпечує нативне представлення цитатного графа та ефективне виконання графових алгоритмів: community detection за алгоритмом Лувена, розрахунок PageRank та Betweenness Centrality, пошук циклів довільної довжини та клік.</w:t>
      </w:r>
    </w:p>
    <w:p>
      <w:pPr>
        <w:spacing w:after="120" w:line="360"/>
        <w:ind w:firstLine="480"/>
        <w:jc w:val="both"/>
      </w:pPr>
      <w:r>
        <w:rPr>
          <w:rFonts w:ascii="Times New Roman" w:cs="Times New Roman" w:eastAsia="Times New Roman" w:hAnsi="Times New Roman"/>
          <w:color w:val="1A1A1A"/>
          <w:sz w:val="24"/>
          <w:szCs w:val="24"/>
        </w:rPr>
        <w:t xml:space="preserve">Синхронізація між рівнями відбувається через ETL-процес: PostgreSQL виступає джерелом правди (source of truth), дані автоматично реплікуються у Neo4j при завантаженні, а результати графового аналізу записуються назад у реляційну базу для звітності та агрегації. Така архітектура поєднує сильні сторони обох парадигм: реляційні запити для агрегації та звітності та графові запити для структурного аналізу [37].</w:t>
      </w:r>
    </w:p>
    <w:p>
      <w:pPr>
        <w:pStyle w:val="Heading2"/>
        <w:spacing w:before="320" w:after="160"/>
      </w:pPr>
      <w:r>
        <w:rPr>
          <w:rFonts w:ascii="Times New Roman" w:cs="Times New Roman" w:eastAsia="Times New Roman" w:hAnsi="Times New Roman"/>
          <w:b/>
          <w:bCs/>
          <w:color w:val="1A1A1A"/>
          <w:sz w:val="24"/>
          <w:szCs w:val="24"/>
        </w:rPr>
        <w:t xml:space="preserve">3.3. Стратегія інкрементального оновлення</w:t>
      </w:r>
    </w:p>
    <w:p>
      <w:pPr>
        <w:spacing w:after="120" w:line="360"/>
        <w:ind w:firstLine="480"/>
        <w:jc w:val="both"/>
      </w:pPr>
      <w:r>
        <w:rPr>
          <w:rFonts w:ascii="Times New Roman" w:cs="Times New Roman" w:eastAsia="Times New Roman" w:hAnsi="Times New Roman"/>
          <w:color w:val="1A1A1A"/>
          <w:sz w:val="24"/>
          <w:szCs w:val="24"/>
        </w:rPr>
        <w:t xml:space="preserve">На відміну від підходу, де кожен запит обробляється як перший, система підтримує інкрементальне оновлення. При повторному аналізі автора система визначає, які публікації та цитування з’явилися з моменту останнього snapshot-у, довантажує лише нові дані (delta-update) та перераховує лише ті індикатори, на які вплинули зміни. Для авторів у Watch-list оновлення відбувається автоматично за розкладом із порівнянням послідовних snapshot-ів та генерацією нотифікацій при суттєвих змінах. Такий підхід забезпечує як ефективне використання ресурсів API, так і можливість безперервного моніторингу.</w:t>
      </w:r>
    </w:p>
    <w:p>
      <w:pPr>
        <w:pStyle w:val="Heading1"/>
        <w:spacing w:before="400" w:after="200"/>
      </w:pPr>
      <w:r>
        <w:rPr>
          <w:rFonts w:ascii="Times New Roman" w:cs="Times New Roman" w:eastAsia="Times New Roman" w:hAnsi="Times New Roman"/>
          <w:b/>
          <w:bCs/>
          <w:color w:val="1A1A1A"/>
          <w:sz w:val="26"/>
          <w:szCs w:val="26"/>
        </w:rPr>
        <w:t xml:space="preserve">4. Математичне обґрунтування детекції</w:t>
      </w:r>
    </w:p>
    <w:p>
      <w:pPr>
        <w:spacing w:after="120" w:line="360"/>
        <w:ind w:firstLine="480"/>
        <w:jc w:val="both"/>
      </w:pPr>
      <w:r>
        <w:rPr>
          <w:rFonts w:ascii="Times New Roman" w:cs="Times New Roman" w:eastAsia="Times New Roman" w:hAnsi="Times New Roman"/>
          <w:color w:val="1A1A1A"/>
          <w:sz w:val="24"/>
          <w:szCs w:val="24"/>
        </w:rPr>
        <w:t xml:space="preserve">У цьому розділі формулюються математичні основи, на яких базується логіка виявлення групових цитатних маніпуляцій. Три теореми утворюють ієрархію доказовості: від необхідної умови існування маніпуляції через кількісний статистичний критерій аномальності до достатньої умови встановлення координованої змови.</w:t>
      </w:r>
    </w:p>
    <w:p>
      <w:pPr>
        <w:pStyle w:val="Heading2"/>
        <w:spacing w:before="320" w:after="160"/>
      </w:pPr>
      <w:r>
        <w:rPr>
          <w:rFonts w:ascii="Times New Roman" w:cs="Times New Roman" w:eastAsia="Times New Roman" w:hAnsi="Times New Roman"/>
          <w:b/>
          <w:bCs/>
          <w:color w:val="1A1A1A"/>
          <w:sz w:val="24"/>
          <w:szCs w:val="24"/>
        </w:rPr>
        <w:t xml:space="preserve">4.1. Означення</w:t>
      </w:r>
    </w:p>
    <w:p>
      <w:pPr>
        <w:spacing w:after="120" w:line="360"/>
        <w:ind w:firstLine="480"/>
        <w:jc w:val="both"/>
      </w:pPr>
      <w:r>
        <w:rPr>
          <w:rFonts w:ascii="Times New Roman" w:cs="Times New Roman" w:eastAsia="Times New Roman" w:hAnsi="Times New Roman"/>
          <w:b/>
          <w:bCs/>
          <w:color w:val="1A1A1A"/>
          <w:sz w:val="24"/>
          <w:szCs w:val="24"/>
        </w:rPr>
        <w:t xml:space="preserve">Означення 4.1</w:t>
      </w:r>
      <w:r>
        <w:rPr>
          <w:rFonts w:ascii="Times New Roman" w:cs="Times New Roman" w:eastAsia="Times New Roman" w:hAnsi="Times New Roman"/>
          <w:color w:val="1A1A1A"/>
          <w:sz w:val="24"/>
          <w:szCs w:val="24"/>
        </w:rPr>
        <w:t xml:space="preserve"> (Цитатний граф публікацій). Нехай G</w:t>
      </w:r>
      <w:r>
        <w:rPr>
          <w:rFonts w:ascii="Times New Roman" w:cs="Times New Roman" w:eastAsia="Times New Roman" w:hAnsi="Times New Roman"/>
          <w:i/>
          <w:iCs/>
          <w:color w:val="1A1A1A"/>
          <w:sz w:val="24"/>
          <w:szCs w:val="24"/>
        </w:rPr>
        <w:t xml:space="preserve">pub</w:t>
      </w:r>
      <w:r>
        <w:rPr>
          <w:rFonts w:ascii="Times New Roman" w:cs="Times New Roman" w:eastAsia="Times New Roman" w:hAnsi="Times New Roman"/>
          <w:color w:val="1A1A1A"/>
          <w:sz w:val="24"/>
          <w:szCs w:val="24"/>
        </w:rPr>
        <w:t xml:space="preserve"> = (V, E, t) — орієнтований граф, де V — скінченна множина наукових публікацій, E ⊆ V × V — множина ребер цитування, t: V → ℝ — функція часу публікації. Ребро (u, v) ∈ E означає «публікація u цитує публікацію v».</w:t>
      </w:r>
    </w:p>
    <w:p>
      <w:pPr>
        <w:spacing w:after="120" w:line="360"/>
        <w:ind w:firstLine="480"/>
        <w:jc w:val="both"/>
      </w:pPr>
      <w:r>
        <w:rPr>
          <w:rFonts w:ascii="Times New Roman" w:cs="Times New Roman" w:eastAsia="Times New Roman" w:hAnsi="Times New Roman"/>
          <w:b/>
          <w:bCs/>
          <w:color w:val="1A1A1A"/>
          <w:sz w:val="24"/>
          <w:szCs w:val="24"/>
        </w:rPr>
        <w:t xml:space="preserve">Означення 4.2</w:t>
      </w:r>
      <w:r>
        <w:rPr>
          <w:rFonts w:ascii="Times New Roman" w:cs="Times New Roman" w:eastAsia="Times New Roman" w:hAnsi="Times New Roman"/>
          <w:color w:val="1A1A1A"/>
          <w:sz w:val="24"/>
          <w:szCs w:val="24"/>
        </w:rPr>
        <w:t xml:space="preserve"> (Часова коректність). Граф G</w:t>
      </w:r>
      <w:r>
        <w:rPr>
          <w:rFonts w:ascii="Times New Roman" w:cs="Times New Roman" w:eastAsia="Times New Roman" w:hAnsi="Times New Roman"/>
          <w:i/>
          <w:iCs/>
          <w:color w:val="1A1A1A"/>
          <w:sz w:val="24"/>
          <w:szCs w:val="24"/>
        </w:rPr>
        <w:t xml:space="preserve">pub</w:t>
      </w:r>
      <w:r>
        <w:rPr>
          <w:rFonts w:ascii="Times New Roman" w:cs="Times New Roman" w:eastAsia="Times New Roman" w:hAnsi="Times New Roman"/>
          <w:color w:val="1A1A1A"/>
          <w:sz w:val="24"/>
          <w:szCs w:val="24"/>
        </w:rPr>
        <w:t xml:space="preserve"> називається </w:t>
      </w:r>
      <w:r>
        <w:rPr>
          <w:rFonts w:ascii="Times New Roman" w:cs="Times New Roman" w:eastAsia="Times New Roman" w:hAnsi="Times New Roman"/>
          <w:i/>
          <w:iCs/>
          <w:color w:val="1A1A1A"/>
          <w:sz w:val="24"/>
          <w:szCs w:val="24"/>
        </w:rPr>
        <w:t xml:space="preserve">часово-коректним</w:t>
      </w:r>
      <w:r>
        <w:rPr>
          <w:rFonts w:ascii="Times New Roman" w:cs="Times New Roman" w:eastAsia="Times New Roman" w:hAnsi="Times New Roman"/>
          <w:color w:val="1A1A1A"/>
          <w:sz w:val="24"/>
          <w:szCs w:val="24"/>
        </w:rPr>
        <w:t xml:space="preserve">, якщо ∀(u, v) ∈ E: t(u) &gt; t(v), тобто кожна стаття-цитатор опублікована строго пізніше за цитовану.</w:t>
      </w:r>
    </w:p>
    <w:p>
      <w:pPr>
        <w:spacing w:after="120" w:line="360"/>
        <w:ind w:firstLine="480"/>
        <w:jc w:val="both"/>
      </w:pPr>
      <w:r>
        <w:rPr>
          <w:rFonts w:ascii="Times New Roman" w:cs="Times New Roman" w:eastAsia="Times New Roman" w:hAnsi="Times New Roman"/>
          <w:b/>
          <w:bCs/>
          <w:color w:val="1A1A1A"/>
          <w:sz w:val="24"/>
          <w:szCs w:val="24"/>
        </w:rPr>
        <w:t xml:space="preserve">Означення 4.3</w:t>
      </w:r>
      <w:r>
        <w:rPr>
          <w:rFonts w:ascii="Times New Roman" w:cs="Times New Roman" w:eastAsia="Times New Roman" w:hAnsi="Times New Roman"/>
          <w:color w:val="1A1A1A"/>
          <w:sz w:val="24"/>
          <w:szCs w:val="24"/>
        </w:rPr>
        <w:t xml:space="preserve"> (Агрегований граф авторів). Нехай R ⊆ V × A — відношення авторства, де (u, a) ∈ R означає «автор a є співавтором публікації u». Для автора a позначимо R(a) = {u ∈ V : (u, a) ∈ R}. Агрегований граф авторів G</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 = (A, E</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 де ребро (a, b) ∈ E</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 ⇔ ∃ u ∈ R(a), v ∈ R(b): (u, v) ∈ E ∧ a ≠ b.</w:t>
      </w:r>
    </w:p>
    <w:p>
      <w:pPr>
        <w:spacing w:after="120" w:line="360"/>
        <w:ind w:firstLine="480"/>
        <w:jc w:val="both"/>
      </w:pPr>
      <w:r>
        <w:rPr>
          <w:rFonts w:ascii="Times New Roman" w:cs="Times New Roman" w:eastAsia="Times New Roman" w:hAnsi="Times New Roman"/>
          <w:b/>
          <w:bCs/>
          <w:color w:val="1A1A1A"/>
          <w:sz w:val="24"/>
          <w:szCs w:val="24"/>
        </w:rPr>
        <w:t xml:space="preserve">Означення 4.4</w:t>
      </w:r>
      <w:r>
        <w:rPr>
          <w:rFonts w:ascii="Times New Roman" w:cs="Times New Roman" w:eastAsia="Times New Roman" w:hAnsi="Times New Roman"/>
          <w:color w:val="1A1A1A"/>
          <w:sz w:val="24"/>
          <w:szCs w:val="24"/>
        </w:rPr>
        <w:t xml:space="preserve"> (Взаємне цитування). Між авторами a та b існує </w:t>
      </w:r>
      <w:r>
        <w:rPr>
          <w:rFonts w:ascii="Times New Roman" w:cs="Times New Roman" w:eastAsia="Times New Roman" w:hAnsi="Times New Roman"/>
          <w:i/>
          <w:iCs/>
          <w:color w:val="1A1A1A"/>
          <w:sz w:val="24"/>
          <w:szCs w:val="24"/>
        </w:rPr>
        <w:t xml:space="preserve">взаємне цитування</w:t>
      </w:r>
      <w:r>
        <w:rPr>
          <w:rFonts w:ascii="Times New Roman" w:cs="Times New Roman" w:eastAsia="Times New Roman" w:hAnsi="Times New Roman"/>
          <w:color w:val="1A1A1A"/>
          <w:sz w:val="24"/>
          <w:szCs w:val="24"/>
        </w:rPr>
        <w:t xml:space="preserve">, якщо одночасно (a, b) ∈ E</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 та (b, a) ∈ E</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w:t>
      </w:r>
    </w:p>
    <w:p>
      <w:pPr>
        <w:spacing w:after="120" w:line="360"/>
        <w:ind w:firstLine="480"/>
        <w:jc w:val="both"/>
      </w:pPr>
      <w:r>
        <w:rPr>
          <w:rFonts w:ascii="Times New Roman" w:cs="Times New Roman" w:eastAsia="Times New Roman" w:hAnsi="Times New Roman"/>
          <w:b/>
          <w:bCs/>
          <w:color w:val="1A1A1A"/>
          <w:sz w:val="24"/>
          <w:szCs w:val="24"/>
        </w:rPr>
        <w:t xml:space="preserve">Означення 4.5</w:t>
      </w:r>
      <w:r>
        <w:rPr>
          <w:rFonts w:ascii="Times New Roman" w:cs="Times New Roman" w:eastAsia="Times New Roman" w:hAnsi="Times New Roman"/>
          <w:color w:val="1A1A1A"/>
          <w:sz w:val="24"/>
          <w:szCs w:val="24"/>
        </w:rPr>
        <w:t xml:space="preserve"> (Цитатна маніпуляція групи). </w:t>
      </w:r>
      <w:r>
        <w:rPr>
          <w:rFonts w:ascii="Times New Roman" w:cs="Times New Roman" w:eastAsia="Times New Roman" w:hAnsi="Times New Roman"/>
          <w:i/>
          <w:iCs/>
          <w:color w:val="1A1A1A"/>
          <w:sz w:val="24"/>
          <w:szCs w:val="24"/>
        </w:rPr>
        <w:t xml:space="preserve">Цитатною маніпуляцією групи</w:t>
      </w:r>
      <w:r>
        <w:rPr>
          <w:rFonts w:ascii="Times New Roman" w:cs="Times New Roman" w:eastAsia="Times New Roman" w:hAnsi="Times New Roman"/>
          <w:color w:val="1A1A1A"/>
          <w:sz w:val="24"/>
          <w:szCs w:val="24"/>
        </w:rPr>
        <w:t xml:space="preserve"> S ⊆ A називається координована діяльність авторів множини S, спрямована на штучне підвищення наукометричних показників учасників групи шляхом систематичного взаємного цитування.</w:t>
      </w:r>
    </w:p>
    <w:p>
      <w:pPr>
        <w:spacing w:after="120" w:line="360"/>
        <w:ind w:firstLine="480"/>
        <w:jc w:val="both"/>
      </w:pPr>
      <w:r>
        <w:rPr>
          <w:rFonts w:ascii="Times New Roman" w:cs="Times New Roman" w:eastAsia="Times New Roman" w:hAnsi="Times New Roman"/>
          <w:b/>
          <w:bCs/>
          <w:color w:val="1A1A1A"/>
          <w:sz w:val="24"/>
          <w:szCs w:val="24"/>
        </w:rPr>
        <w:t xml:space="preserve">Означення 4.6</w:t>
      </w:r>
      <w:r>
        <w:rPr>
          <w:rFonts w:ascii="Times New Roman" w:cs="Times New Roman" w:eastAsia="Times New Roman" w:hAnsi="Times New Roman"/>
          <w:color w:val="1A1A1A"/>
          <w:sz w:val="24"/>
          <w:szCs w:val="24"/>
        </w:rPr>
        <w:t xml:space="preserve"> (Індекс взаємності). Для підмножини авторів S ⊆ A визначимо індекс взаємності як частку невпорядкованих пар із взаємним цитуванням серед усіх невпорядкованих пар, з’єднаних хоча б одним ребром:</w:t>
      </w:r>
    </w:p>
    <w:p>
      <w:pPr>
        <w:spacing w:before="140" w:after="140"/>
        <w:jc w:val="center"/>
      </w:pPr>
      <w:r>
        <w:rPr>
          <w:rFonts w:ascii="Times New Roman" w:cs="Times New Roman" w:eastAsia="Times New Roman" w:hAnsi="Times New Roman"/>
          <w:i/>
          <w:iCs/>
          <w:color w:val="1A1A1A"/>
          <w:sz w:val="24"/>
          <w:szCs w:val="24"/>
        </w:rPr>
        <w:t xml:space="preserve">μ(S) = |{{a, b} : (a,b) ∈ E_auth ∧ (b,a) ∈ E_auth, a,b ∈ S}| / |{{a, b} : (a,b) ∈ E_auth ∨ (b,a) ∈ E_auth, a,b ∈ S}|</w:t>
      </w:r>
    </w:p>
    <w:p>
      <w:pPr>
        <w:spacing w:after="120" w:line="360"/>
        <w:ind w:firstLine="480"/>
        <w:jc w:val="both"/>
      </w:pPr>
      <w:r>
        <w:rPr>
          <w:rFonts w:ascii="Times New Roman" w:cs="Times New Roman" w:eastAsia="Times New Roman" w:hAnsi="Times New Roman"/>
          <w:color w:val="1A1A1A"/>
          <w:sz w:val="24"/>
          <w:szCs w:val="24"/>
        </w:rPr>
        <w:t xml:space="preserve">тобто частку пар авторів, що цитують один одного, серед усіх пар, між якими існує хоча б одне цитування.</w:t>
      </w:r>
    </w:p>
    <w:p>
      <w:pPr>
        <w:spacing w:after="120" w:line="360"/>
        <w:ind w:firstLine="480"/>
        <w:jc w:val="both"/>
      </w:pPr>
      <w:r>
        <w:rPr>
          <w:rFonts w:ascii="Times New Roman" w:cs="Times New Roman" w:eastAsia="Times New Roman" w:hAnsi="Times New Roman"/>
          <w:b/>
          <w:bCs/>
          <w:color w:val="1A1A1A"/>
          <w:sz w:val="24"/>
          <w:szCs w:val="24"/>
        </w:rPr>
        <w:t xml:space="preserve">Означення 4.7</w:t>
      </w:r>
      <w:r>
        <w:rPr>
          <w:rFonts w:ascii="Times New Roman" w:cs="Times New Roman" w:eastAsia="Times New Roman" w:hAnsi="Times New Roman"/>
          <w:color w:val="1A1A1A"/>
          <w:sz w:val="24"/>
          <w:szCs w:val="24"/>
        </w:rPr>
        <w:t xml:space="preserve"> (Mutual Citation Ratio). Для пари авторів a, b ∈ A визначимо </w:t>
      </w:r>
      <w:r>
        <w:rPr>
          <w:rFonts w:ascii="Times New Roman" w:cs="Times New Roman" w:eastAsia="Times New Roman" w:hAnsi="Times New Roman"/>
          <w:i/>
          <w:iCs/>
          <w:color w:val="1A1A1A"/>
          <w:sz w:val="24"/>
          <w:szCs w:val="24"/>
        </w:rPr>
        <w:t xml:space="preserve">індекс взаємності пари</w:t>
      </w:r>
      <w:r>
        <w:rPr>
          <w:rFonts w:ascii="Times New Roman" w:cs="Times New Roman" w:eastAsia="Times New Roman" w:hAnsi="Times New Roman"/>
          <w:color w:val="1A1A1A"/>
          <w:sz w:val="24"/>
          <w:szCs w:val="24"/>
        </w:rPr>
        <w:t xml:space="preserve"> (Mutual Citation Ratio):</w:t>
      </w:r>
    </w:p>
    <w:p>
      <w:pPr>
        <w:spacing w:before="140" w:after="140"/>
        <w:jc w:val="center"/>
      </w:pPr>
      <w:r>
        <w:rPr>
          <w:rFonts w:ascii="Times New Roman" w:cs="Times New Roman" w:eastAsia="Times New Roman" w:hAnsi="Times New Roman"/>
          <w:i/>
          <w:iCs/>
          <w:color w:val="1A1A1A"/>
          <w:sz w:val="24"/>
          <w:szCs w:val="24"/>
        </w:rPr>
        <w:t xml:space="preserve">MCR(a, b) = 2|cit(a→b) ∩ cit(b→a)| / (|cit(a)| + |cit(b)|)</w:t>
      </w:r>
    </w:p>
    <w:p>
      <w:pPr>
        <w:spacing w:after="120" w:line="360"/>
        <w:ind w:firstLine="480"/>
        <w:jc w:val="both"/>
      </w:pPr>
      <w:r>
        <w:rPr>
          <w:rFonts w:ascii="Times New Roman" w:cs="Times New Roman" w:eastAsia="Times New Roman" w:hAnsi="Times New Roman"/>
          <w:color w:val="1A1A1A"/>
          <w:sz w:val="24"/>
          <w:szCs w:val="24"/>
        </w:rPr>
        <w:t xml:space="preserve">де cit(a→b) — множина публікацій автора a, що цитують публікації автора b; |cit(a)| — загальна кількість цитувань у публікаціях автора a. MCR ∈ [0, 1]; значення MCR = 0 відповідає відсутності взаємних цитувань, MCR = 1 — повній взаємності.</w:t>
      </w:r>
    </w:p>
    <w:p>
      <w:pPr>
        <w:spacing w:after="120" w:line="360"/>
        <w:ind w:firstLine="480"/>
        <w:jc w:val="both"/>
      </w:pPr>
      <w:r>
        <w:rPr>
          <w:rFonts w:ascii="Times New Roman" w:cs="Times New Roman" w:eastAsia="Times New Roman" w:hAnsi="Times New Roman"/>
          <w:b/>
          <w:bCs/>
          <w:color w:val="1A1A1A"/>
          <w:sz w:val="24"/>
          <w:szCs w:val="24"/>
        </w:rPr>
        <w:t xml:space="preserve">Означення 4.8</w:t>
      </w:r>
      <w:r>
        <w:rPr>
          <w:rFonts w:ascii="Times New Roman" w:cs="Times New Roman" w:eastAsia="Times New Roman" w:hAnsi="Times New Roman"/>
          <w:color w:val="1A1A1A"/>
          <w:sz w:val="24"/>
          <w:szCs w:val="24"/>
        </w:rPr>
        <w:t xml:space="preserve"> (Граф взаємного цитування). Нехай τ ∈ (0, 1) — порогове значення MCR, що відсікає випадкові або слабкі взаємні зв’язки. G</w:t>
      </w:r>
      <w:r>
        <w:rPr>
          <w:rFonts w:ascii="Times New Roman" w:cs="Times New Roman" w:eastAsia="Times New Roman" w:hAnsi="Times New Roman"/>
          <w:i/>
          <w:iCs/>
          <w:color w:val="1A1A1A"/>
          <w:sz w:val="24"/>
          <w:szCs w:val="24"/>
        </w:rPr>
        <w:t xml:space="preserve">mutual</w:t>
      </w:r>
      <w:r>
        <w:rPr>
          <w:rFonts w:ascii="Times New Roman" w:cs="Times New Roman" w:eastAsia="Times New Roman" w:hAnsi="Times New Roman"/>
          <w:color w:val="1A1A1A"/>
          <w:sz w:val="24"/>
          <w:szCs w:val="24"/>
        </w:rPr>
        <w:t xml:space="preserve"> = (A, E</w:t>
      </w:r>
      <w:r>
        <w:rPr>
          <w:rFonts w:ascii="Times New Roman" w:cs="Times New Roman" w:eastAsia="Times New Roman" w:hAnsi="Times New Roman"/>
          <w:i/>
          <w:iCs/>
          <w:color w:val="1A1A1A"/>
          <w:sz w:val="24"/>
          <w:szCs w:val="24"/>
        </w:rPr>
        <w:t xml:space="preserve">mutual</w:t>
      </w:r>
      <w:r>
        <w:rPr>
          <w:rFonts w:ascii="Times New Roman" w:cs="Times New Roman" w:eastAsia="Times New Roman" w:hAnsi="Times New Roman"/>
          <w:color w:val="1A1A1A"/>
          <w:sz w:val="24"/>
          <w:szCs w:val="24"/>
        </w:rPr>
        <w:t xml:space="preserve">) — неорієнтований граф, де {a, b} ∈ E</w:t>
      </w:r>
      <w:r>
        <w:rPr>
          <w:rFonts w:ascii="Times New Roman" w:cs="Times New Roman" w:eastAsia="Times New Roman" w:hAnsi="Times New Roman"/>
          <w:i/>
          <w:iCs/>
          <w:color w:val="1A1A1A"/>
          <w:sz w:val="24"/>
          <w:szCs w:val="24"/>
        </w:rPr>
        <w:t xml:space="preserve">mutual</w:t>
      </w:r>
      <w:r>
        <w:rPr>
          <w:rFonts w:ascii="Times New Roman" w:cs="Times New Roman" w:eastAsia="Times New Roman" w:hAnsi="Times New Roman"/>
          <w:color w:val="1A1A1A"/>
          <w:sz w:val="24"/>
          <w:szCs w:val="24"/>
        </w:rPr>
        <w:t xml:space="preserve"> ⇔ (a, b) ∈ E</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 ∧ (b, a) ∈ E</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 ∧ MCR(a, b) &gt; τ. Значення τ = 0.3 обране за результатами емпіричного аналізу, що відповідає рівню взаємності, який рідко спостерігається при нормальній науковій комунікації [13].</w:t>
      </w:r>
    </w:p>
    <w:p>
      <w:pPr>
        <w:spacing w:after="120" w:line="360"/>
        <w:ind w:firstLine="480"/>
        <w:jc w:val="both"/>
      </w:pPr>
      <w:r>
        <w:rPr>
          <w:rFonts w:ascii="Times New Roman" w:cs="Times New Roman" w:eastAsia="Times New Roman" w:hAnsi="Times New Roman"/>
          <w:b/>
          <w:bCs/>
          <w:color w:val="1A1A1A"/>
          <w:sz w:val="24"/>
          <w:szCs w:val="24"/>
        </w:rPr>
        <w:t xml:space="preserve">Означення 4.9</w:t>
      </w:r>
      <w:r>
        <w:rPr>
          <w:rFonts w:ascii="Times New Roman" w:cs="Times New Roman" w:eastAsia="Times New Roman" w:hAnsi="Times New Roman"/>
          <w:color w:val="1A1A1A"/>
          <w:sz w:val="24"/>
          <w:szCs w:val="24"/>
        </w:rPr>
        <w:t xml:space="preserve"> (Кліка). Кліка K</w:t>
      </w:r>
      <w:r>
        <w:rPr>
          <w:rFonts w:ascii="Times New Roman" w:cs="Times New Roman" w:eastAsia="Times New Roman" w:hAnsi="Times New Roman"/>
          <w:i/>
          <w:iCs/>
          <w:color w:val="1A1A1A"/>
          <w:sz w:val="24"/>
          <w:szCs w:val="24"/>
        </w:rPr>
        <w:t xml:space="preserve">k</w:t>
      </w:r>
      <w:r>
        <w:rPr>
          <w:rFonts w:ascii="Times New Roman" w:cs="Times New Roman" w:eastAsia="Times New Roman" w:hAnsi="Times New Roman"/>
          <w:color w:val="1A1A1A"/>
          <w:sz w:val="24"/>
          <w:szCs w:val="24"/>
        </w:rPr>
        <w:t xml:space="preserve"> у графі G</w:t>
      </w:r>
      <w:r>
        <w:rPr>
          <w:rFonts w:ascii="Times New Roman" w:cs="Times New Roman" w:eastAsia="Times New Roman" w:hAnsi="Times New Roman"/>
          <w:i/>
          <w:iCs/>
          <w:color w:val="1A1A1A"/>
          <w:sz w:val="24"/>
          <w:szCs w:val="24"/>
        </w:rPr>
        <w:t xml:space="preserve">mutual</w:t>
      </w:r>
      <w:r>
        <w:rPr>
          <w:rFonts w:ascii="Times New Roman" w:cs="Times New Roman" w:eastAsia="Times New Roman" w:hAnsi="Times New Roman"/>
          <w:color w:val="1A1A1A"/>
          <w:sz w:val="24"/>
          <w:szCs w:val="24"/>
        </w:rPr>
        <w:t xml:space="preserve"> — повний підграф на k вершинах, тобто множина з k авторів, де кожна пара з’єднана ребром взаємного цитування.</w:t>
      </w:r>
    </w:p>
    <w:p>
      <w:pPr>
        <w:pStyle w:val="Heading2"/>
        <w:spacing w:before="320" w:after="160"/>
      </w:pPr>
      <w:r>
        <w:rPr>
          <w:rFonts w:ascii="Times New Roman" w:cs="Times New Roman" w:eastAsia="Times New Roman" w:hAnsi="Times New Roman"/>
          <w:b/>
          <w:bCs/>
          <w:color w:val="1A1A1A"/>
          <w:sz w:val="24"/>
          <w:szCs w:val="24"/>
        </w:rPr>
        <w:t xml:space="preserve">4.2. Теорема 1. Необхідна умова цитатної маніпуляції групи</w:t>
      </w:r>
    </w:p>
    <w:p>
      <w:pPr>
        <w:spacing w:after="120" w:line="360"/>
        <w:ind w:firstLine="480"/>
        <w:jc w:val="both"/>
      </w:pPr>
      <w:r>
        <w:rPr>
          <w:rFonts w:ascii="Times New Roman" w:cs="Times New Roman" w:eastAsia="Times New Roman" w:hAnsi="Times New Roman"/>
          <w:b/>
          <w:bCs/>
          <w:color w:val="1A1A1A"/>
          <w:sz w:val="24"/>
          <w:szCs w:val="24"/>
        </w:rPr>
        <w:t xml:space="preserve">Лема 4.1.</w:t>
      </w:r>
      <w:r>
        <w:rPr>
          <w:rFonts w:ascii="Times New Roman" w:cs="Times New Roman" w:eastAsia="Times New Roman" w:hAnsi="Times New Roman"/>
          <w:color w:val="1A1A1A"/>
          <w:sz w:val="24"/>
          <w:szCs w:val="24"/>
        </w:rPr>
        <w:t xml:space="preserve"> </w:t>
      </w:r>
      <w:r>
        <w:rPr>
          <w:rFonts w:ascii="Times New Roman" w:cs="Times New Roman" w:eastAsia="Times New Roman" w:hAnsi="Times New Roman"/>
          <w:i/>
          <w:iCs/>
          <w:color w:val="1A1A1A"/>
          <w:sz w:val="24"/>
          <w:szCs w:val="24"/>
        </w:rPr>
        <w:t xml:space="preserve">Якщо G</w:t>
      </w:r>
      <w:r>
        <w:rPr>
          <w:rFonts w:ascii="Times New Roman" w:cs="Times New Roman" w:eastAsia="Times New Roman" w:hAnsi="Times New Roman"/>
          <w:i/>
          <w:iCs/>
          <w:color w:val="1A1A1A"/>
          <w:sz w:val="24"/>
          <w:szCs w:val="24"/>
        </w:rPr>
        <w:t xml:space="preserve">pub</w:t>
      </w:r>
      <w:r>
        <w:rPr>
          <w:rFonts w:ascii="Times New Roman" w:cs="Times New Roman" w:eastAsia="Times New Roman" w:hAnsi="Times New Roman"/>
          <w:i/>
          <w:iCs/>
          <w:color w:val="1A1A1A"/>
          <w:sz w:val="24"/>
          <w:szCs w:val="24"/>
        </w:rPr>
        <w:t xml:space="preserve"> часово-коректний, то G</w:t>
      </w:r>
      <w:r>
        <w:rPr>
          <w:rFonts w:ascii="Times New Roman" w:cs="Times New Roman" w:eastAsia="Times New Roman" w:hAnsi="Times New Roman"/>
          <w:i/>
          <w:iCs/>
          <w:color w:val="1A1A1A"/>
          <w:sz w:val="24"/>
          <w:szCs w:val="24"/>
        </w:rPr>
        <w:t xml:space="preserve">pub</w:t>
      </w:r>
      <w:r>
        <w:rPr>
          <w:rFonts w:ascii="Times New Roman" w:cs="Times New Roman" w:eastAsia="Times New Roman" w:hAnsi="Times New Roman"/>
          <w:i/>
          <w:iCs/>
          <w:color w:val="1A1A1A"/>
          <w:sz w:val="24"/>
          <w:szCs w:val="24"/>
        </w:rPr>
        <w:t xml:space="preserve"> є DAG (спрямований ациклічний граф).</w:t>
      </w:r>
    </w:p>
    <w:p>
      <w:pPr>
        <w:spacing w:after="120" w:line="360"/>
        <w:ind w:firstLine="480"/>
        <w:jc w:val="both"/>
      </w:pPr>
      <w:r>
        <w:rPr>
          <w:rFonts w:ascii="Times New Roman" w:cs="Times New Roman" w:eastAsia="Times New Roman" w:hAnsi="Times New Roman"/>
          <w:i/>
          <w:iCs/>
          <w:color w:val="1A1A1A"/>
          <w:sz w:val="24"/>
          <w:szCs w:val="24"/>
        </w:rPr>
        <w:t xml:space="preserve">Доведення.</w:t>
      </w:r>
      <w:r>
        <w:rPr>
          <w:rFonts w:ascii="Times New Roman" w:cs="Times New Roman" w:eastAsia="Times New Roman" w:hAnsi="Times New Roman"/>
          <w:color w:val="1A1A1A"/>
          <w:sz w:val="24"/>
          <w:szCs w:val="24"/>
        </w:rPr>
        <w:t xml:space="preserve"> Від супротивного. Нехай існує цикл v₁ → v₂ → … → vₖ → v₁ у G</w:t>
      </w:r>
      <w:r>
        <w:rPr>
          <w:rFonts w:ascii="Times New Roman" w:cs="Times New Roman" w:eastAsia="Times New Roman" w:hAnsi="Times New Roman"/>
          <w:i/>
          <w:iCs/>
          <w:color w:val="1A1A1A"/>
          <w:sz w:val="24"/>
          <w:szCs w:val="24"/>
        </w:rPr>
        <w:t xml:space="preserve">pub</w:t>
      </w:r>
      <w:r>
        <w:rPr>
          <w:rFonts w:ascii="Times New Roman" w:cs="Times New Roman" w:eastAsia="Times New Roman" w:hAnsi="Times New Roman"/>
          <w:color w:val="1A1A1A"/>
          <w:sz w:val="24"/>
          <w:szCs w:val="24"/>
        </w:rPr>
        <w:t xml:space="preserve">. Часова коректність вимагає t(v₁) &gt; t(v₂) &gt; … &gt; t(vₖ) &gt; t(v₁), звідки t(v₁) &gt; t(v₁) — протиріччя. ∎</w:t>
      </w:r>
    </w:p>
    <w:p>
      <w:pPr>
        <w:spacing w:after="120" w:line="360"/>
        <w:ind w:firstLine="480"/>
        <w:jc w:val="both"/>
      </w:pPr>
      <w:r>
        <w:rPr>
          <w:rFonts w:ascii="Times New Roman" w:cs="Times New Roman" w:eastAsia="Times New Roman" w:hAnsi="Times New Roman"/>
          <w:b/>
          <w:bCs/>
          <w:color w:val="1A1A1A"/>
          <w:sz w:val="24"/>
          <w:szCs w:val="24"/>
        </w:rPr>
        <w:t xml:space="preserve">Лема 4.2.</w:t>
      </w:r>
      <w:r>
        <w:rPr>
          <w:rFonts w:ascii="Times New Roman" w:cs="Times New Roman" w:eastAsia="Times New Roman" w:hAnsi="Times New Roman"/>
          <w:color w:val="1A1A1A"/>
          <w:sz w:val="24"/>
          <w:szCs w:val="24"/>
        </w:rPr>
        <w:t xml:space="preserve"> </w:t>
      </w:r>
      <w:r>
        <w:rPr>
          <w:rFonts w:ascii="Times New Roman" w:cs="Times New Roman" w:eastAsia="Times New Roman" w:hAnsi="Times New Roman"/>
          <w:i/>
          <w:iCs/>
          <w:color w:val="1A1A1A"/>
          <w:sz w:val="24"/>
          <w:szCs w:val="24"/>
        </w:rPr>
        <w:t xml:space="preserve">Нехай G</w:t>
      </w:r>
      <w:r>
        <w:rPr>
          <w:rFonts w:ascii="Times New Roman" w:cs="Times New Roman" w:eastAsia="Times New Roman" w:hAnsi="Times New Roman"/>
          <w:i/>
          <w:iCs/>
          <w:color w:val="1A1A1A"/>
          <w:sz w:val="24"/>
          <w:szCs w:val="24"/>
        </w:rPr>
        <w:t xml:space="preserve">pub</w:t>
      </w:r>
      <w:r>
        <w:rPr>
          <w:rFonts w:ascii="Times New Roman" w:cs="Times New Roman" w:eastAsia="Times New Roman" w:hAnsi="Times New Roman"/>
          <w:i/>
          <w:iCs/>
          <w:color w:val="1A1A1A"/>
          <w:sz w:val="24"/>
          <w:szCs w:val="24"/>
        </w:rPr>
        <w:t xml:space="preserve"> — часово-коректний DAG. Тоді агрегований граф авторів G</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i/>
          <w:iCs/>
          <w:color w:val="1A1A1A"/>
          <w:sz w:val="24"/>
          <w:szCs w:val="24"/>
        </w:rPr>
        <w:t xml:space="preserve"> не є обов’язково ациклічним.</w:t>
      </w:r>
    </w:p>
    <w:p>
      <w:pPr>
        <w:spacing w:after="120" w:line="360"/>
        <w:ind w:firstLine="480"/>
        <w:jc w:val="both"/>
      </w:pPr>
      <w:r>
        <w:rPr>
          <w:rFonts w:ascii="Times New Roman" w:cs="Times New Roman" w:eastAsia="Times New Roman" w:hAnsi="Times New Roman"/>
          <w:i/>
          <w:iCs/>
          <w:color w:val="1A1A1A"/>
          <w:sz w:val="24"/>
          <w:szCs w:val="24"/>
        </w:rPr>
        <w:t xml:space="preserve">Доведення</w:t>
      </w:r>
      <w:r>
        <w:rPr>
          <w:rFonts w:ascii="Times New Roman" w:cs="Times New Roman" w:eastAsia="Times New Roman" w:hAnsi="Times New Roman"/>
          <w:color w:val="1A1A1A"/>
          <w:sz w:val="24"/>
          <w:szCs w:val="24"/>
        </w:rPr>
        <w:t xml:space="preserve"> (конструктивне). Нехай автор a є єдиним автором публікації u₁ в момент t₁. Автор b є єдиним автором v₁ в момент t₂ &gt; t₁, де v₁ цитує u₁. Автор a є єдиним автором u₂ в момент t₃ &gt; t₂, де u₂ цитує v₁. У G</w:t>
      </w:r>
      <w:r>
        <w:rPr>
          <w:rFonts w:ascii="Times New Roman" w:cs="Times New Roman" w:eastAsia="Times New Roman" w:hAnsi="Times New Roman"/>
          <w:i/>
          <w:iCs/>
          <w:color w:val="1A1A1A"/>
          <w:sz w:val="24"/>
          <w:szCs w:val="24"/>
        </w:rPr>
        <w:t xml:space="preserve">pub</w:t>
      </w:r>
      <w:r>
        <w:rPr>
          <w:rFonts w:ascii="Times New Roman" w:cs="Times New Roman" w:eastAsia="Times New Roman" w:hAnsi="Times New Roman"/>
          <w:color w:val="1A1A1A"/>
          <w:sz w:val="24"/>
          <w:szCs w:val="24"/>
        </w:rPr>
        <w:t xml:space="preserve"> маємо ланцюжок u₁ ← v₁ ← u₂, усі ребра часово-коректні (t₃ &gt; t₂ &gt; t₁), циклу немає. Але у G</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 a цитує b (через u₂ → v₁, бо u₂ ∈ R(a), v₁ ∈ R(b)) та b цитує a (через v₁ → u₁, бо v₁ ∈ R(b), u₁ ∈ R(a)) — цикл довжини 2. ∎</w:t>
      </w:r>
    </w:p>
    <w:p>
      <w:pPr>
        <w:spacing w:after="120" w:line="360"/>
        <w:ind w:firstLine="480"/>
        <w:jc w:val="both"/>
      </w:pPr>
      <w:r>
        <w:rPr>
          <w:rFonts w:ascii="Times New Roman" w:cs="Times New Roman" w:eastAsia="Times New Roman" w:hAnsi="Times New Roman"/>
          <w:b/>
          <w:bCs/>
          <w:color w:val="1A1A1A"/>
          <w:sz w:val="24"/>
          <w:szCs w:val="24"/>
        </w:rPr>
        <w:t xml:space="preserve">Теорема 1</w:t>
      </w:r>
      <w:r>
        <w:rPr>
          <w:rFonts w:ascii="Times New Roman" w:cs="Times New Roman" w:eastAsia="Times New Roman" w:hAnsi="Times New Roman"/>
          <w:color w:val="1A1A1A"/>
          <w:sz w:val="24"/>
          <w:szCs w:val="24"/>
        </w:rPr>
        <w:t xml:space="preserve"> (Необхідна умова цитатної маніпуляції). </w:t>
      </w:r>
      <w:r>
        <w:rPr>
          <w:rFonts w:ascii="Times New Roman" w:cs="Times New Roman" w:eastAsia="Times New Roman" w:hAnsi="Times New Roman"/>
          <w:i/>
          <w:iCs/>
          <w:color w:val="1A1A1A"/>
          <w:sz w:val="24"/>
          <w:szCs w:val="24"/>
        </w:rPr>
        <w:t xml:space="preserve">Необхідною умовою цитатної маніпуляції групи S ⊆ A є наявність щонайменше одного циклу в підграфі G</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i/>
          <w:iCs/>
          <w:color w:val="1A1A1A"/>
          <w:sz w:val="24"/>
          <w:szCs w:val="24"/>
        </w:rPr>
        <w:t xml:space="preserve">[S] агрегованого графу авторів, індукованому множиною S.</w:t>
      </w:r>
    </w:p>
    <w:p>
      <w:pPr>
        <w:spacing w:after="120" w:line="360"/>
        <w:ind w:firstLine="480"/>
        <w:jc w:val="both"/>
      </w:pPr>
      <w:r>
        <w:rPr>
          <w:rFonts w:ascii="Times New Roman" w:cs="Times New Roman" w:eastAsia="Times New Roman" w:hAnsi="Times New Roman"/>
          <w:i/>
          <w:iCs/>
          <w:color w:val="1A1A1A"/>
          <w:sz w:val="24"/>
          <w:szCs w:val="24"/>
        </w:rPr>
        <w:t xml:space="preserve">Доведення.</w:t>
      </w:r>
      <w:r>
        <w:rPr>
          <w:rFonts w:ascii="Times New Roman" w:cs="Times New Roman" w:eastAsia="Times New Roman" w:hAnsi="Times New Roman"/>
          <w:color w:val="1A1A1A"/>
          <w:sz w:val="24"/>
          <w:szCs w:val="24"/>
        </w:rPr>
        <w:t xml:space="preserve"> Контрапозицією. Покажемо: якщо G</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[S] ациклічний, то маніпуляція неможлива. Нехай G</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[S] не містить циклів, тобто є DAG. За відомою теоремою теорії графів, скінченний DAG допускає топологічне впорядкування. Отже, існує нумерація a₁, a₂, …, aₘ така, що для кожного ребра (aᵢ, aⱼ) ∈ E</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[S] виконується i &lt; j.</w:t>
      </w:r>
    </w:p>
    <w:p>
      <w:pPr>
        <w:spacing w:after="120" w:line="360"/>
        <w:ind w:firstLine="480"/>
        <w:jc w:val="both"/>
      </w:pPr>
      <w:r>
        <w:rPr>
          <w:rFonts w:ascii="Times New Roman" w:cs="Times New Roman" w:eastAsia="Times New Roman" w:hAnsi="Times New Roman"/>
          <w:color w:val="1A1A1A"/>
          <w:sz w:val="24"/>
          <w:szCs w:val="24"/>
        </w:rPr>
        <w:t xml:space="preserve">Покажемо, що взаємне цитування неможливе. Припустимо від супротивного, що для деяких aᵢ, aⱼ ∈ S одночасно (aᵢ, aⱼ) ∈ E</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[S] та (aⱼ, aᵢ) ∈ E</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[S]. З першого ребра: i &lt; j. З другого: j &lt; i. Отримуємо i &lt; j та j &lt; i — протиріччя.</w:t>
      </w:r>
    </w:p>
    <w:p>
      <w:pPr>
        <w:spacing w:after="120" w:line="360"/>
        <w:ind w:firstLine="480"/>
        <w:jc w:val="both"/>
      </w:pPr>
      <w:r>
        <w:rPr>
          <w:rFonts w:ascii="Times New Roman" w:cs="Times New Roman" w:eastAsia="Times New Roman" w:hAnsi="Times New Roman"/>
          <w:color w:val="1A1A1A"/>
          <w:sz w:val="24"/>
          <w:szCs w:val="24"/>
        </w:rPr>
        <w:t xml:space="preserve">З відсутності взаємного цитування у S та Означення 4.5, яке визначає маніпуляцію як діяльність шляхом систематичного взаємного цитування, випливає, що маніпуляція групи S неможлива. За контрапозицією: якщо маніпуляція має місце, то G</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[S] містить щонайменше один цикл. ∎</w:t>
      </w:r>
    </w:p>
    <w:p>
      <w:pPr>
        <w:spacing w:after="120" w:line="360"/>
        <w:ind w:firstLine="480"/>
        <w:jc w:val="both"/>
      </w:pPr>
      <w:r>
        <w:rPr>
          <w:rFonts w:ascii="Times New Roman" w:cs="Times New Roman" w:eastAsia="Times New Roman" w:hAnsi="Times New Roman"/>
          <w:b/>
          <w:bCs/>
          <w:color w:val="1A1A1A"/>
          <w:sz w:val="24"/>
          <w:szCs w:val="24"/>
        </w:rPr>
        <w:t xml:space="preserve">Зауваження 4.1.</w:t>
      </w:r>
      <w:r>
        <w:rPr>
          <w:rFonts w:ascii="Times New Roman" w:cs="Times New Roman" w:eastAsia="Times New Roman" w:hAnsi="Times New Roman"/>
          <w:color w:val="1A1A1A"/>
          <w:sz w:val="24"/>
          <w:szCs w:val="24"/>
        </w:rPr>
        <w:t xml:space="preserve"> Теорема 1 встановлює лише </w:t>
      </w:r>
      <w:r>
        <w:rPr>
          <w:rFonts w:ascii="Times New Roman" w:cs="Times New Roman" w:eastAsia="Times New Roman" w:hAnsi="Times New Roman"/>
          <w:i/>
          <w:iCs/>
          <w:color w:val="1A1A1A"/>
          <w:sz w:val="24"/>
          <w:szCs w:val="24"/>
        </w:rPr>
        <w:t xml:space="preserve">необхідну</w:t>
      </w:r>
      <w:r>
        <w:rPr>
          <w:rFonts w:ascii="Times New Roman" w:cs="Times New Roman" w:eastAsia="Times New Roman" w:hAnsi="Times New Roman"/>
          <w:color w:val="1A1A1A"/>
          <w:sz w:val="24"/>
          <w:szCs w:val="24"/>
        </w:rPr>
        <w:t xml:space="preserve"> умову. Наявність циклу в G</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[S] </w:t>
      </w:r>
      <w:r>
        <w:rPr>
          <w:rFonts w:ascii="Times New Roman" w:cs="Times New Roman" w:eastAsia="Times New Roman" w:hAnsi="Times New Roman"/>
          <w:i/>
          <w:iCs/>
          <w:color w:val="1A1A1A"/>
          <w:sz w:val="24"/>
          <w:szCs w:val="24"/>
        </w:rPr>
        <w:t xml:space="preserve">не є достатньою</w:t>
      </w:r>
      <w:r>
        <w:rPr>
          <w:rFonts w:ascii="Times New Roman" w:cs="Times New Roman" w:eastAsia="Times New Roman" w:hAnsi="Times New Roman"/>
          <w:color w:val="1A1A1A"/>
          <w:sz w:val="24"/>
          <w:szCs w:val="24"/>
        </w:rPr>
        <w:t xml:space="preserve"> умовою маніпуляції, оскільки взаємне цитування виникає природно при нормальній науковій комунікації, як продемонстровано Лемою 4.2. Для встановлення достатніх умов необхідний перехід до кількісних (Теорема 2) та структурних (Теорема 3) критеріїв.</w:t>
      </w:r>
    </w:p>
    <w:p>
      <w:pPr>
        <w:spacing w:after="120" w:line="360"/>
        <w:ind w:firstLine="480"/>
        <w:jc w:val="both"/>
      </w:pPr>
      <w:r>
        <w:rPr>
          <w:rFonts w:ascii="Times New Roman" w:cs="Times New Roman" w:eastAsia="Times New Roman" w:hAnsi="Times New Roman"/>
          <w:b/>
          <w:bCs/>
          <w:color w:val="1A1A1A"/>
          <w:sz w:val="24"/>
          <w:szCs w:val="24"/>
        </w:rPr>
        <w:t xml:space="preserve">Зауваження 4.2.</w:t>
      </w:r>
      <w:r>
        <w:rPr>
          <w:rFonts w:ascii="Times New Roman" w:cs="Times New Roman" w:eastAsia="Times New Roman" w:hAnsi="Times New Roman"/>
          <w:color w:val="1A1A1A"/>
          <w:sz w:val="24"/>
          <w:szCs w:val="24"/>
        </w:rPr>
        <w:t xml:space="preserve"> Практичний наслідок Теореми 1: якщо для підмножини авторів S підграф G</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[S] є ациклічним, то S можна виключити з подальшого аналізу на групову змову, що зменшує обчислювальну складність системи.</w:t>
      </w:r>
    </w:p>
    <w:p>
      <w:pPr>
        <w:pStyle w:val="Heading2"/>
        <w:spacing w:before="320" w:after="160"/>
      </w:pPr>
      <w:r>
        <w:rPr>
          <w:rFonts w:ascii="Times New Roman" w:cs="Times New Roman" w:eastAsia="Times New Roman" w:hAnsi="Times New Roman"/>
          <w:b/>
          <w:bCs/>
          <w:color w:val="1A1A1A"/>
          <w:sz w:val="24"/>
          <w:szCs w:val="24"/>
        </w:rPr>
        <w:t xml:space="preserve">4.3. Теорема 2. Статистичний критерій аномальної взаємності</w:t>
      </w:r>
    </w:p>
    <w:p>
      <w:pPr>
        <w:spacing w:after="120" w:line="360"/>
        <w:ind w:firstLine="480"/>
        <w:jc w:val="both"/>
      </w:pPr>
      <w:r>
        <w:rPr>
          <w:rFonts w:ascii="Times New Roman" w:cs="Times New Roman" w:eastAsia="Times New Roman" w:hAnsi="Times New Roman"/>
          <w:b/>
          <w:bCs/>
          <w:color w:val="1A1A1A"/>
          <w:sz w:val="24"/>
          <w:szCs w:val="24"/>
        </w:rPr>
        <w:t xml:space="preserve">Означення 4.10</w:t>
      </w:r>
      <w:r>
        <w:rPr>
          <w:rFonts w:ascii="Times New Roman" w:cs="Times New Roman" w:eastAsia="Times New Roman" w:hAnsi="Times New Roman"/>
          <w:color w:val="1A1A1A"/>
          <w:sz w:val="24"/>
          <w:szCs w:val="24"/>
        </w:rPr>
        <w:t xml:space="preserve"> (Discipline baseline). Для дисципліни D позначимо μ</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 E[μ(S)] — математичне очікування індексу взаємності, та σ</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 √Var[μ(S)] — стандартне відхилення, оцінені емпірично на великій вибірці підмножин авторів дисципліни D.</w:t>
      </w:r>
    </w:p>
    <w:p>
      <w:pPr>
        <w:spacing w:after="120" w:line="360"/>
        <w:ind w:firstLine="480"/>
        <w:jc w:val="both"/>
      </w:pPr>
      <w:r>
        <w:rPr>
          <w:rFonts w:ascii="Times New Roman" w:cs="Times New Roman" w:eastAsia="Times New Roman" w:hAnsi="Times New Roman"/>
          <w:b/>
          <w:bCs/>
          <w:color w:val="1A1A1A"/>
          <w:sz w:val="24"/>
          <w:szCs w:val="24"/>
        </w:rPr>
        <w:t xml:space="preserve">Теорема 2</w:t>
      </w:r>
      <w:r>
        <w:rPr>
          <w:rFonts w:ascii="Times New Roman" w:cs="Times New Roman" w:eastAsia="Times New Roman" w:hAnsi="Times New Roman"/>
          <w:color w:val="1A1A1A"/>
          <w:sz w:val="24"/>
          <w:szCs w:val="24"/>
        </w:rPr>
        <w:t xml:space="preserve"> (Статистичний критерій аномальної взаємності). </w:t>
      </w:r>
      <w:r>
        <w:rPr>
          <w:rFonts w:ascii="Times New Roman" w:cs="Times New Roman" w:eastAsia="Times New Roman" w:hAnsi="Times New Roman"/>
          <w:i/>
          <w:iCs/>
          <w:color w:val="1A1A1A"/>
          <w:sz w:val="24"/>
          <w:szCs w:val="24"/>
        </w:rPr>
        <w:t xml:space="preserve">Нехай S ⊆ A — підмножина авторів дисципліни D з m з’єднаними парами. Нехай X</w:t>
      </w:r>
      <w:r>
        <w:rPr>
          <w:rFonts w:ascii="Times New Roman" w:cs="Times New Roman" w:eastAsia="Times New Roman" w:hAnsi="Times New Roman"/>
          <w:i/>
          <w:iCs/>
          <w:color w:val="1A1A1A"/>
          <w:sz w:val="24"/>
          <w:szCs w:val="24"/>
        </w:rPr>
        <w:t xml:space="preserve">i</w:t>
      </w:r>
      <w:r>
        <w:rPr>
          <w:rFonts w:ascii="Times New Roman" w:cs="Times New Roman" w:eastAsia="Times New Roman" w:hAnsi="Times New Roman"/>
          <w:i/>
          <w:iCs/>
          <w:color w:val="1A1A1A"/>
          <w:sz w:val="24"/>
          <w:szCs w:val="24"/>
        </w:rPr>
        <w:t xml:space="preserve"> ∈ {0, 1}, i = 1, …, m — індикатори взаємності кожної пари, μ(S) = (1/m)ΣX</w:t>
      </w:r>
      <w:r>
        <w:rPr>
          <w:rFonts w:ascii="Times New Roman" w:cs="Times New Roman" w:eastAsia="Times New Roman" w:hAnsi="Times New Roman"/>
          <w:i/>
          <w:iCs/>
          <w:color w:val="1A1A1A"/>
          <w:sz w:val="24"/>
          <w:szCs w:val="24"/>
        </w:rPr>
        <w:t xml:space="preserve">i</w:t>
      </w:r>
      <w:r>
        <w:rPr>
          <w:rFonts w:ascii="Times New Roman" w:cs="Times New Roman" w:eastAsia="Times New Roman" w:hAnsi="Times New Roman"/>
          <w:i/>
          <w:iCs/>
          <w:color w:val="1A1A1A"/>
          <w:sz w:val="24"/>
          <w:szCs w:val="24"/>
        </w:rPr>
        <w:t xml:space="preserve">. Тоді перевищення порогу</w:t>
      </w:r>
    </w:p>
    <w:p>
      <w:pPr>
        <w:spacing w:before="140" w:after="140"/>
        <w:jc w:val="center"/>
      </w:pPr>
      <w:r>
        <w:rPr>
          <w:rFonts w:ascii="Times New Roman" w:cs="Times New Roman" w:eastAsia="Times New Roman" w:hAnsi="Times New Roman"/>
          <w:i/>
          <w:iCs/>
          <w:color w:val="1A1A1A"/>
          <w:sz w:val="24"/>
          <w:szCs w:val="24"/>
        </w:rPr>
        <w:t xml:space="preserve">μ(S) &gt; μ_D + zσ_D</w:t>
      </w:r>
    </w:p>
    <w:p>
      <w:pPr>
        <w:spacing w:after="120" w:line="360"/>
        <w:ind w:firstLine="480"/>
        <w:jc w:val="both"/>
      </w:pPr>
      <w:r>
        <w:rPr>
          <w:rFonts w:ascii="Times New Roman" w:cs="Times New Roman" w:eastAsia="Times New Roman" w:hAnsi="Times New Roman"/>
          <w:i/>
          <w:iCs/>
          <w:color w:val="1A1A1A"/>
          <w:sz w:val="24"/>
          <w:szCs w:val="24"/>
        </w:rPr>
        <w:t xml:space="preserve">є статистичним критерієм для класифікації групи S як такої, що має аномально високий рівень взаємності. Ймовірність такого відхилення за умови відсутності маніпуляції може бути оцінена наступним чином:</w:t>
      </w:r>
    </w:p>
    <w:p>
      <w:pPr>
        <w:spacing w:after="120" w:line="360"/>
        <w:ind w:firstLine="480"/>
        <w:jc w:val="both"/>
      </w:pPr>
      <w:r>
        <w:rPr>
          <w:rFonts w:ascii="Times New Roman" w:cs="Times New Roman" w:eastAsia="Times New Roman" w:hAnsi="Times New Roman"/>
          <w:i/>
          <w:iCs/>
          <w:color w:val="1A1A1A"/>
          <w:sz w:val="24"/>
          <w:szCs w:val="24"/>
        </w:rPr>
        <w:t xml:space="preserve">Доведення.</w:t>
      </w:r>
      <w:r>
        <w:rPr>
          <w:rFonts w:ascii="Times New Roman" w:cs="Times New Roman" w:eastAsia="Times New Roman" w:hAnsi="Times New Roman"/>
          <w:color w:val="1A1A1A"/>
          <w:sz w:val="24"/>
          <w:szCs w:val="24"/>
        </w:rPr>
        <w:t xml:space="preserve"> Для детекції маніпуляції релевантною є одностороння оцінка P(μ(S) − μ</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 zσ</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оскільки нас цікавить лише перевищення норми. Наводимо три рівні строгості:</w:t>
      </w:r>
    </w:p>
    <w:p>
      <w:pPr>
        <w:spacing w:after="120" w:line="360"/>
        <w:ind w:firstLine="480"/>
        <w:jc w:val="both"/>
      </w:pPr>
      <w:r>
        <w:rPr>
          <w:rFonts w:ascii="Times New Roman" w:cs="Times New Roman" w:eastAsia="Times New Roman" w:hAnsi="Times New Roman"/>
          <w:color w:val="1A1A1A"/>
          <w:sz w:val="24"/>
          <w:szCs w:val="24"/>
        </w:rPr>
        <w:t xml:space="preserve">(1) </w:t>
      </w:r>
      <w:r>
        <w:rPr>
          <w:rFonts w:ascii="Times New Roman" w:cs="Times New Roman" w:eastAsia="Times New Roman" w:hAnsi="Times New Roman"/>
          <w:b/>
          <w:bCs/>
          <w:color w:val="1A1A1A"/>
          <w:sz w:val="24"/>
          <w:szCs w:val="24"/>
        </w:rPr>
        <w:t xml:space="preserve">Нерівність Кантеллі</w:t>
      </w:r>
      <w:r>
        <w:rPr>
          <w:rFonts w:ascii="Times New Roman" w:cs="Times New Roman" w:eastAsia="Times New Roman" w:hAnsi="Times New Roman"/>
          <w:color w:val="1A1A1A"/>
          <w:sz w:val="24"/>
          <w:szCs w:val="24"/>
        </w:rPr>
        <w:t xml:space="preserve"> (одностороння нерівність Чебишова; без припущень про форму розподілу, лише існування дисперсії): P(X − μ ≥ zσ) ≤ 1/(1 + z²). При z = 3: P ≤ 1/10 = 0.10.</w:t>
      </w:r>
    </w:p>
    <w:p>
      <w:pPr>
        <w:spacing w:after="120" w:line="360"/>
        <w:ind w:firstLine="480"/>
        <w:jc w:val="both"/>
      </w:pPr>
      <w:r>
        <w:rPr>
          <w:rFonts w:ascii="Times New Roman" w:cs="Times New Roman" w:eastAsia="Times New Roman" w:hAnsi="Times New Roman"/>
          <w:color w:val="1A1A1A"/>
          <w:sz w:val="24"/>
          <w:szCs w:val="24"/>
        </w:rPr>
        <w:t xml:space="preserve">(2) </w:t>
      </w:r>
      <w:r>
        <w:rPr>
          <w:rFonts w:ascii="Times New Roman" w:cs="Times New Roman" w:eastAsia="Times New Roman" w:hAnsi="Times New Roman"/>
          <w:b/>
          <w:bCs/>
          <w:color w:val="1A1A1A"/>
          <w:sz w:val="24"/>
          <w:szCs w:val="24"/>
        </w:rPr>
        <w:t xml:space="preserve">Нерівність Висоцького–Петуніна</w:t>
      </w:r>
      <w:r>
        <w:rPr>
          <w:rFonts w:ascii="Times New Roman" w:cs="Times New Roman" w:eastAsia="Times New Roman" w:hAnsi="Times New Roman"/>
          <w:color w:val="1A1A1A"/>
          <w:sz w:val="24"/>
          <w:szCs w:val="24"/>
        </w:rPr>
        <w:t xml:space="preserve"> (при унімодальності розподілу та z ≥ √(8/3) ≈ 1.63): двостороння оцінка P(|X − μ| ≥ zσ) ≤ 4/(9z²). Для одностороннього випадку: P(X − μ ≥ zσ) ≤ 2/(9z²). При z = 3: P ≤ 2/81 ≈ 0.025.</w:t>
      </w:r>
    </w:p>
    <w:p>
      <w:pPr>
        <w:spacing w:after="120" w:line="360"/>
        <w:ind w:firstLine="480"/>
        <w:jc w:val="both"/>
      </w:pPr>
      <w:r>
        <w:rPr>
          <w:rFonts w:ascii="Times New Roman" w:cs="Times New Roman" w:eastAsia="Times New Roman" w:hAnsi="Times New Roman"/>
          <w:color w:val="1A1A1A"/>
          <w:sz w:val="24"/>
          <w:szCs w:val="24"/>
        </w:rPr>
        <w:t xml:space="preserve">(3) </w:t>
      </w:r>
      <w:r>
        <w:rPr>
          <w:rFonts w:ascii="Times New Roman" w:cs="Times New Roman" w:eastAsia="Times New Roman" w:hAnsi="Times New Roman"/>
          <w:b/>
          <w:bCs/>
          <w:color w:val="1A1A1A"/>
          <w:sz w:val="24"/>
          <w:szCs w:val="24"/>
        </w:rPr>
        <w:t xml:space="preserve">Теорема Муавра–Лапласа</w:t>
      </w:r>
      <w:r>
        <w:rPr>
          <w:rFonts w:ascii="Times New Roman" w:cs="Times New Roman" w:eastAsia="Times New Roman" w:hAnsi="Times New Roman"/>
          <w:color w:val="1A1A1A"/>
          <w:sz w:val="24"/>
          <w:szCs w:val="24"/>
        </w:rPr>
        <w:t xml:space="preserve"> (при незалежності X</w:t>
      </w:r>
      <w:r>
        <w:rPr>
          <w:rFonts w:ascii="Times New Roman" w:cs="Times New Roman" w:eastAsia="Times New Roman" w:hAnsi="Times New Roman"/>
          <w:i/>
          <w:iCs/>
          <w:color w:val="1A1A1A"/>
          <w:sz w:val="24"/>
          <w:szCs w:val="24"/>
        </w:rPr>
        <w:t xml:space="preserve">i</w:t>
      </w:r>
      <w:r>
        <w:rPr>
          <w:rFonts w:ascii="Times New Roman" w:cs="Times New Roman" w:eastAsia="Times New Roman" w:hAnsi="Times New Roman"/>
          <w:color w:val="1A1A1A"/>
          <w:sz w:val="24"/>
          <w:szCs w:val="24"/>
        </w:rPr>
        <w:t xml:space="preserve"> ~ Bernoulli(μ</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Z</w:t>
      </w:r>
      <w:r>
        <w:rPr>
          <w:rFonts w:ascii="Times New Roman" w:cs="Times New Roman" w:eastAsia="Times New Roman" w:hAnsi="Times New Roman"/>
          <w:i/>
          <w:iCs/>
          <w:color w:val="1A1A1A"/>
          <w:sz w:val="24"/>
          <w:szCs w:val="24"/>
        </w:rPr>
        <w:t xml:space="preserve">m</w:t>
      </w:r>
      <w:r>
        <w:rPr>
          <w:rFonts w:ascii="Times New Roman" w:cs="Times New Roman" w:eastAsia="Times New Roman" w:hAnsi="Times New Roman"/>
          <w:color w:val="1A1A1A"/>
          <w:sz w:val="24"/>
          <w:szCs w:val="24"/>
        </w:rPr>
        <w:t xml:space="preserve"> = (mμ(S) − mμ</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 √(mμ</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(1−μ</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 N(0,1). При z = 3: P(Z &gt; 3) ≈ 0.0013.</w:t>
      </w:r>
    </w:p>
    <w:p>
      <w:pPr>
        <w:spacing w:after="120" w:line="360"/>
        <w:ind w:firstLine="480"/>
        <w:jc w:val="both"/>
      </w:pPr>
      <w:r>
        <w:rPr>
          <w:rFonts w:ascii="Times New Roman" w:cs="Times New Roman" w:eastAsia="Times New Roman" w:hAnsi="Times New Roman"/>
          <w:color w:val="1A1A1A"/>
          <w:sz w:val="24"/>
          <w:szCs w:val="24"/>
        </w:rPr>
        <w:t xml:space="preserve">Оскільки μ</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та σ</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обчислюються емпірично (Означення 4.10), оцінка (1) є безумовно коректною і не вимагає припущення незалежності. ∎</w:t>
      </w:r>
    </w:p>
    <w:p>
      <w:pPr>
        <w:spacing w:after="120" w:line="360"/>
        <w:ind w:firstLine="480"/>
        <w:jc w:val="both"/>
      </w:pPr>
      <w:r>
        <w:rPr>
          <w:rFonts w:ascii="Times New Roman" w:cs="Times New Roman" w:eastAsia="Times New Roman" w:hAnsi="Times New Roman"/>
          <w:b/>
          <w:bCs/>
          <w:color w:val="1A1A1A"/>
          <w:sz w:val="24"/>
          <w:szCs w:val="24"/>
        </w:rPr>
        <w:t xml:space="preserve">Зауваження 4.3.</w:t>
      </w:r>
      <w:r>
        <w:rPr>
          <w:rFonts w:ascii="Times New Roman" w:cs="Times New Roman" w:eastAsia="Times New Roman" w:hAnsi="Times New Roman"/>
          <w:color w:val="1A1A1A"/>
          <w:sz w:val="24"/>
          <w:szCs w:val="24"/>
        </w:rPr>
        <w:t xml:space="preserve"> Три рівні строгості односторонніх оцінок: (1) Кантеллі — P ≤ 0.10, без припущень; (2) Висоцького–Петуніна — P ≤ 0.025, при унімодальності; (3) Муавра–Лапласа — P ≈ 0.0013, при незалежності. Слід зазначити, що оцінка (3) базується на припущенні про незалежність X</w:t>
      </w:r>
      <w:r>
        <w:rPr>
          <w:rFonts w:ascii="Times New Roman" w:cs="Times New Roman" w:eastAsia="Times New Roman" w:hAnsi="Times New Roman"/>
          <w:i/>
          <w:iCs/>
          <w:color w:val="1A1A1A"/>
          <w:sz w:val="24"/>
          <w:szCs w:val="24"/>
        </w:rPr>
        <w:t xml:space="preserve">i</w:t>
      </w:r>
      <w:r>
        <w:rPr>
          <w:rFonts w:ascii="Times New Roman" w:cs="Times New Roman" w:eastAsia="Times New Roman" w:hAnsi="Times New Roman"/>
          <w:color w:val="1A1A1A"/>
          <w:sz w:val="24"/>
          <w:szCs w:val="24"/>
        </w:rPr>
        <w:t xml:space="preserve">, яке не виконується у реальних цитатних мережах через транзитивність та кластеризацію (Лема 4.2). Тому оцінка P ≈ 0.0013 є занадто оптимістичною і не може використовуватись як надійна. Система CFD покладається на безумовно коректну оцінку (1) з нерівності Кантеллі із порогом z = 3.</w:t>
      </w:r>
    </w:p>
    <w:p>
      <w:pPr>
        <w:spacing w:after="120" w:line="360"/>
        <w:ind w:firstLine="480"/>
        <w:jc w:val="both"/>
      </w:pPr>
      <w:r>
        <w:rPr>
          <w:rFonts w:ascii="Times New Roman" w:cs="Times New Roman" w:eastAsia="Times New Roman" w:hAnsi="Times New Roman"/>
          <w:b/>
          <w:bCs/>
          <w:color w:val="1A1A1A"/>
          <w:sz w:val="24"/>
          <w:szCs w:val="24"/>
        </w:rPr>
        <w:t xml:space="preserve">Зауваження 4.4.</w:t>
      </w:r>
      <w:r>
        <w:rPr>
          <w:rFonts w:ascii="Times New Roman" w:cs="Times New Roman" w:eastAsia="Times New Roman" w:hAnsi="Times New Roman"/>
          <w:color w:val="1A1A1A"/>
          <w:sz w:val="24"/>
          <w:szCs w:val="24"/>
        </w:rPr>
        <w:t xml:space="preserve"> Теорема 2 встановлює </w:t>
      </w:r>
      <w:r>
        <w:rPr>
          <w:rFonts w:ascii="Times New Roman" w:cs="Times New Roman" w:eastAsia="Times New Roman" w:hAnsi="Times New Roman"/>
          <w:i/>
          <w:iCs/>
          <w:color w:val="1A1A1A"/>
          <w:sz w:val="24"/>
          <w:szCs w:val="24"/>
        </w:rPr>
        <w:t xml:space="preserve">необхідну, але не достатню</w:t>
      </w:r>
      <w:r>
        <w:rPr>
          <w:rFonts w:ascii="Times New Roman" w:cs="Times New Roman" w:eastAsia="Times New Roman" w:hAnsi="Times New Roman"/>
          <w:color w:val="1A1A1A"/>
          <w:sz w:val="24"/>
          <w:szCs w:val="24"/>
        </w:rPr>
        <w:t xml:space="preserve"> умову координованої маніпуляції. Статистично аномальна взаємність може бути зумовлена легітимними причинами: вузька підгалузь, спільний проєкт, review-статті.</w:t>
      </w:r>
    </w:p>
    <w:p>
      <w:pPr>
        <w:spacing w:after="120" w:line="360"/>
        <w:ind w:firstLine="480"/>
        <w:jc w:val="both"/>
      </w:pPr>
      <w:r>
        <w:rPr>
          <w:rFonts w:ascii="Times New Roman" w:cs="Times New Roman" w:eastAsia="Times New Roman" w:hAnsi="Times New Roman"/>
          <w:b/>
          <w:bCs/>
          <w:color w:val="1A1A1A"/>
          <w:sz w:val="24"/>
          <w:szCs w:val="24"/>
        </w:rPr>
        <w:t xml:space="preserve">Зауваження 4.5.</w:t>
      </w:r>
      <w:r>
        <w:rPr>
          <w:rFonts w:ascii="Times New Roman" w:cs="Times New Roman" w:eastAsia="Times New Roman" w:hAnsi="Times New Roman"/>
          <w:color w:val="1A1A1A"/>
          <w:sz w:val="24"/>
          <w:szCs w:val="24"/>
        </w:rPr>
        <w:t xml:space="preserve"> Для підвищення специфічності необхідна перевірка </w:t>
      </w:r>
      <w:r>
        <w:rPr>
          <w:rFonts w:ascii="Times New Roman" w:cs="Times New Roman" w:eastAsia="Times New Roman" w:hAnsi="Times New Roman"/>
          <w:i/>
          <w:iCs/>
          <w:color w:val="1A1A1A"/>
          <w:sz w:val="24"/>
          <w:szCs w:val="24"/>
        </w:rPr>
        <w:t xml:space="preserve">структури</w:t>
      </w:r>
      <w:r>
        <w:rPr>
          <w:rFonts w:ascii="Times New Roman" w:cs="Times New Roman" w:eastAsia="Times New Roman" w:hAnsi="Times New Roman"/>
          <w:color w:val="1A1A1A"/>
          <w:sz w:val="24"/>
          <w:szCs w:val="24"/>
        </w:rPr>
        <w:t xml:space="preserve"> взаємного цитування (Теорема 3): чи утворює підозріла група щільно зв’язану кліку, чи взаємність розподілена дифузно серед багатьох пар.</w:t>
      </w:r>
    </w:p>
    <w:p>
      <w:pPr>
        <w:pStyle w:val="Heading2"/>
        <w:spacing w:before="320" w:after="160"/>
      </w:pPr>
      <w:r>
        <w:rPr>
          <w:rFonts w:ascii="Times New Roman" w:cs="Times New Roman" w:eastAsia="Times New Roman" w:hAnsi="Times New Roman"/>
          <w:b/>
          <w:bCs/>
          <w:color w:val="1A1A1A"/>
          <w:sz w:val="24"/>
          <w:szCs w:val="24"/>
        </w:rPr>
        <w:t xml:space="preserve">4.4. Теорема 3. Достатня умова встановлення координованої змови</w:t>
      </w:r>
    </w:p>
    <w:p>
      <w:pPr>
        <w:spacing w:after="120" w:line="360"/>
        <w:ind w:firstLine="480"/>
        <w:jc w:val="both"/>
      </w:pPr>
      <w:r>
        <w:rPr>
          <w:rFonts w:ascii="Times New Roman" w:cs="Times New Roman" w:eastAsia="Times New Roman" w:hAnsi="Times New Roman"/>
          <w:b/>
          <w:bCs/>
          <w:color w:val="1A1A1A"/>
          <w:sz w:val="24"/>
          <w:szCs w:val="24"/>
        </w:rPr>
        <w:t xml:space="preserve">Теорема 3</w:t>
      </w:r>
      <w:r>
        <w:rPr>
          <w:rFonts w:ascii="Times New Roman" w:cs="Times New Roman" w:eastAsia="Times New Roman" w:hAnsi="Times New Roman"/>
          <w:color w:val="1A1A1A"/>
          <w:sz w:val="24"/>
          <w:szCs w:val="24"/>
        </w:rPr>
        <w:t xml:space="preserve"> (Імовірнісний критерій citation ring через k-кліки). </w:t>
      </w:r>
      <w:r>
        <w:rPr>
          <w:rFonts w:ascii="Times New Roman" w:cs="Times New Roman" w:eastAsia="Times New Roman" w:hAnsi="Times New Roman"/>
          <w:i/>
          <w:iCs/>
          <w:color w:val="1A1A1A"/>
          <w:sz w:val="24"/>
          <w:szCs w:val="24"/>
        </w:rPr>
        <w:t xml:space="preserve">Нехай n = |A| — кількість авторів у базі, p — baseline ймовірність існування ребра взаємного цитування з MCR &gt; τ між двома випадковими авторами дисципліни. Тоді ймовірність випадкового утворення хоча б однієї кліки K</w:t>
      </w:r>
      <w:r>
        <w:rPr>
          <w:rFonts w:ascii="Times New Roman" w:cs="Times New Roman" w:eastAsia="Times New Roman" w:hAnsi="Times New Roman"/>
          <w:i/>
          <w:iCs/>
          <w:color w:val="1A1A1A"/>
          <w:sz w:val="24"/>
          <w:szCs w:val="24"/>
        </w:rPr>
        <w:t xml:space="preserve">k</w:t>
      </w:r>
      <w:r>
        <w:rPr>
          <w:rFonts w:ascii="Times New Roman" w:cs="Times New Roman" w:eastAsia="Times New Roman" w:hAnsi="Times New Roman"/>
          <w:i/>
          <w:iCs/>
          <w:color w:val="1A1A1A"/>
          <w:sz w:val="24"/>
          <w:szCs w:val="24"/>
        </w:rPr>
        <w:t xml:space="preserve"> у графі G</w:t>
      </w:r>
      <w:r>
        <w:rPr>
          <w:rFonts w:ascii="Times New Roman" w:cs="Times New Roman" w:eastAsia="Times New Roman" w:hAnsi="Times New Roman"/>
          <w:i/>
          <w:iCs/>
          <w:color w:val="1A1A1A"/>
          <w:sz w:val="24"/>
          <w:szCs w:val="24"/>
        </w:rPr>
        <w:t xml:space="preserve">mutual</w:t>
      </w:r>
      <w:r>
        <w:rPr>
          <w:rFonts w:ascii="Times New Roman" w:cs="Times New Roman" w:eastAsia="Times New Roman" w:hAnsi="Times New Roman"/>
          <w:i/>
          <w:iCs/>
          <w:color w:val="1A1A1A"/>
          <w:sz w:val="24"/>
          <w:szCs w:val="24"/>
        </w:rPr>
        <w:t xml:space="preserve"> обмежена зверху:</w:t>
      </w:r>
    </w:p>
    <w:p>
      <w:pPr>
        <w:spacing w:before="140" w:after="140"/>
        <w:jc w:val="center"/>
      </w:pPr>
      <w:r>
        <w:rPr>
          <w:rFonts w:ascii="Times New Roman" w:cs="Times New Roman" w:eastAsia="Times New Roman" w:hAnsi="Times New Roman"/>
          <w:i/>
          <w:iCs/>
          <w:color w:val="1A1A1A"/>
          <w:sz w:val="24"/>
          <w:szCs w:val="24"/>
        </w:rPr>
        <w:t xml:space="preserve">P(∃ K_k) ≤ C(n, k) × p^(k(k−1)/2)</w:t>
      </w:r>
    </w:p>
    <w:p>
      <w:pPr>
        <w:spacing w:after="120" w:line="360"/>
        <w:ind w:firstLine="480"/>
        <w:jc w:val="both"/>
      </w:pPr>
      <w:r>
        <w:rPr>
          <w:rFonts w:ascii="Times New Roman" w:cs="Times New Roman" w:eastAsia="Times New Roman" w:hAnsi="Times New Roman"/>
          <w:i/>
          <w:iCs/>
          <w:color w:val="1A1A1A"/>
          <w:sz w:val="24"/>
          <w:szCs w:val="24"/>
        </w:rPr>
        <w:t xml:space="preserve">де C(n, k) — біноміальний коефіцієнт.</w:t>
      </w:r>
    </w:p>
    <w:p>
      <w:pPr>
        <w:spacing w:after="120" w:line="360"/>
        <w:ind w:firstLine="480"/>
        <w:jc w:val="both"/>
      </w:pPr>
      <w:r>
        <w:rPr>
          <w:rFonts w:ascii="Times New Roman" w:cs="Times New Roman" w:eastAsia="Times New Roman" w:hAnsi="Times New Roman"/>
          <w:i/>
          <w:iCs/>
          <w:color w:val="1A1A1A"/>
          <w:sz w:val="24"/>
          <w:szCs w:val="24"/>
        </w:rPr>
        <w:t xml:space="preserve">Доведення.</w:t>
      </w:r>
      <w:r>
        <w:rPr>
          <w:rFonts w:ascii="Times New Roman" w:cs="Times New Roman" w:eastAsia="Times New Roman" w:hAnsi="Times New Roman"/>
          <w:color w:val="1A1A1A"/>
          <w:sz w:val="24"/>
          <w:szCs w:val="24"/>
        </w:rPr>
        <w:t xml:space="preserve"> Розглянемо G</w:t>
      </w:r>
      <w:r>
        <w:rPr>
          <w:rFonts w:ascii="Times New Roman" w:cs="Times New Roman" w:eastAsia="Times New Roman" w:hAnsi="Times New Roman"/>
          <w:i/>
          <w:iCs/>
          <w:color w:val="1A1A1A"/>
          <w:sz w:val="24"/>
          <w:szCs w:val="24"/>
        </w:rPr>
        <w:t xml:space="preserve">mutual</w:t>
      </w:r>
      <w:r>
        <w:rPr>
          <w:rFonts w:ascii="Times New Roman" w:cs="Times New Roman" w:eastAsia="Times New Roman" w:hAnsi="Times New Roman"/>
          <w:color w:val="1A1A1A"/>
          <w:sz w:val="24"/>
          <w:szCs w:val="24"/>
        </w:rPr>
        <w:t xml:space="preserve"> як випадковий граф Ердеша–Реньї G(n, p). Ймовірність того, що фіксована множина з k вершин утворює кліку K</w:t>
      </w:r>
      <w:r>
        <w:rPr>
          <w:rFonts w:ascii="Times New Roman" w:cs="Times New Roman" w:eastAsia="Times New Roman" w:hAnsi="Times New Roman"/>
          <w:i/>
          <w:iCs/>
          <w:color w:val="1A1A1A"/>
          <w:sz w:val="24"/>
          <w:szCs w:val="24"/>
        </w:rPr>
        <w:t xml:space="preserve">k</w:t>
      </w:r>
      <w:r>
        <w:rPr>
          <w:rFonts w:ascii="Times New Roman" w:cs="Times New Roman" w:eastAsia="Times New Roman" w:hAnsi="Times New Roman"/>
          <w:color w:val="1A1A1A"/>
          <w:sz w:val="24"/>
          <w:szCs w:val="24"/>
        </w:rPr>
        <w:t xml:space="preserve">, дорівнює p</w:t>
      </w:r>
      <w:r>
        <w:rPr>
          <w:rFonts w:ascii="Times New Roman" w:cs="Times New Roman" w:eastAsia="Times New Roman" w:hAnsi="Times New Roman"/>
          <w:i/>
          <w:iCs/>
          <w:color w:val="1A1A1A"/>
          <w:sz w:val="24"/>
          <w:szCs w:val="24"/>
        </w:rPr>
        <w:t xml:space="preserve">k(k−1)/2</w:t>
      </w:r>
      <w:r>
        <w:rPr>
          <w:rFonts w:ascii="Times New Roman" w:cs="Times New Roman" w:eastAsia="Times New Roman" w:hAnsi="Times New Roman"/>
          <w:color w:val="1A1A1A"/>
          <w:sz w:val="24"/>
          <w:szCs w:val="24"/>
        </w:rPr>
        <w:t xml:space="preserve">, оскільки кліка потребує наявності всіх k(k−1)/2 ребер, кожне з яких існує незалежно з ймовірністю p. Кількість способів обрати k вершин із n дорівнює C(n, k). За нерівністю Буля (union bound): P(∃ K</w:t>
      </w:r>
      <w:r>
        <w:rPr>
          <w:rFonts w:ascii="Times New Roman" w:cs="Times New Roman" w:eastAsia="Times New Roman" w:hAnsi="Times New Roman"/>
          <w:i/>
          <w:iCs/>
          <w:color w:val="1A1A1A"/>
          <w:sz w:val="24"/>
          <w:szCs w:val="24"/>
        </w:rPr>
        <w:t xml:space="preserve">k</w:t>
      </w:r>
      <w:r>
        <w:rPr>
          <w:rFonts w:ascii="Times New Roman" w:cs="Times New Roman" w:eastAsia="Times New Roman" w:hAnsi="Times New Roman"/>
          <w:color w:val="1A1A1A"/>
          <w:sz w:val="24"/>
          <w:szCs w:val="24"/>
        </w:rPr>
        <w:t xml:space="preserve">) ≤ C(n, k) × p</w:t>
      </w:r>
      <w:r>
        <w:rPr>
          <w:rFonts w:ascii="Times New Roman" w:cs="Times New Roman" w:eastAsia="Times New Roman" w:hAnsi="Times New Roman"/>
          <w:i/>
          <w:iCs/>
          <w:color w:val="1A1A1A"/>
          <w:sz w:val="24"/>
          <w:szCs w:val="24"/>
        </w:rPr>
        <w:t xml:space="preserve">k(k−1)/2</w:t>
      </w:r>
      <w:r>
        <w:rPr>
          <w:rFonts w:ascii="Times New Roman" w:cs="Times New Roman" w:eastAsia="Times New Roman" w:hAnsi="Times New Roman"/>
          <w:color w:val="1A1A1A"/>
          <w:sz w:val="24"/>
          <w:szCs w:val="24"/>
        </w:rPr>
        <w:t xml:space="preserve">. ∎</w:t>
      </w:r>
    </w:p>
    <w:p>
      <w:pPr>
        <w:spacing w:after="120" w:line="360"/>
        <w:ind w:firstLine="480"/>
        <w:jc w:val="both"/>
      </w:pPr>
      <w:r>
        <w:rPr>
          <w:rFonts w:ascii="Times New Roman" w:cs="Times New Roman" w:eastAsia="Times New Roman" w:hAnsi="Times New Roman"/>
          <w:b/>
          <w:bCs/>
          <w:color w:val="1A1A1A"/>
          <w:sz w:val="24"/>
          <w:szCs w:val="24"/>
        </w:rPr>
        <w:t xml:space="preserve">Наслідок 4.1</w:t>
      </w:r>
      <w:r>
        <w:rPr>
          <w:rFonts w:ascii="Times New Roman" w:cs="Times New Roman" w:eastAsia="Times New Roman" w:hAnsi="Times New Roman"/>
          <w:color w:val="1A1A1A"/>
          <w:sz w:val="24"/>
          <w:szCs w:val="24"/>
        </w:rPr>
        <w:t xml:space="preserve"> (Числові оцінки). Для типових параметрів n = 1000, p = 0.03: при k = 3 верхня межа ≈ 4486, при k = 4 ≈ 30 — обидві перевищують 1, bound невинформативний, кліки такого розміру можуть виникати природно. При k = 5: P ≤ 0.005, значущо при α = 0.05. При k = 6: P ≤ 2 × 10⁻⁸, високо значущо. При k ≥ 7: P &lt; 10⁻¹⁴, практично неможливо випадково.</w:t>
      </w:r>
    </w:p>
    <w:p>
      <w:pPr>
        <w:spacing w:after="120" w:line="360"/>
        <w:ind w:firstLine="480"/>
        <w:jc w:val="both"/>
      </w:pPr>
      <w:r>
        <w:rPr>
          <w:rFonts w:ascii="Times New Roman" w:cs="Times New Roman" w:eastAsia="Times New Roman" w:hAnsi="Times New Roman"/>
          <w:b/>
          <w:bCs/>
          <w:color w:val="1A1A1A"/>
          <w:sz w:val="24"/>
          <w:szCs w:val="24"/>
        </w:rPr>
        <w:t xml:space="preserve">Зауваження 4.5.</w:t>
      </w:r>
      <w:r>
        <w:rPr>
          <w:rFonts w:ascii="Times New Roman" w:cs="Times New Roman" w:eastAsia="Times New Roman" w:hAnsi="Times New Roman"/>
          <w:color w:val="1A1A1A"/>
          <w:sz w:val="24"/>
          <w:szCs w:val="24"/>
        </w:rPr>
        <w:t xml:space="preserve"> Кліки розміру k ≤ 4 у графі взаємного цитування </w:t>
      </w:r>
      <w:r>
        <w:rPr>
          <w:rFonts w:ascii="Times New Roman" w:cs="Times New Roman" w:eastAsia="Times New Roman" w:hAnsi="Times New Roman"/>
          <w:i/>
          <w:iCs/>
          <w:color w:val="1A1A1A"/>
          <w:sz w:val="24"/>
          <w:szCs w:val="24"/>
        </w:rPr>
        <w:t xml:space="preserve">не є достатньою</w:t>
      </w:r>
      <w:r>
        <w:rPr>
          <w:rFonts w:ascii="Times New Roman" w:cs="Times New Roman" w:eastAsia="Times New Roman" w:hAnsi="Times New Roman"/>
          <w:color w:val="1A1A1A"/>
          <w:sz w:val="24"/>
          <w:szCs w:val="24"/>
        </w:rPr>
        <w:t xml:space="preserve"> умовою маніпуляції — верхня межа ймовірності їх випадкового утворення перевищує 1. Для малих клік необхідний додатковий аналіз контекстних індикаторів.</w:t>
      </w:r>
    </w:p>
    <w:p>
      <w:pPr>
        <w:spacing w:after="120" w:line="360"/>
        <w:ind w:firstLine="480"/>
        <w:jc w:val="both"/>
      </w:pPr>
      <w:r>
        <w:rPr>
          <w:rFonts w:ascii="Times New Roman" w:cs="Times New Roman" w:eastAsia="Times New Roman" w:hAnsi="Times New Roman"/>
          <w:b/>
          <w:bCs/>
          <w:color w:val="1A1A1A"/>
          <w:sz w:val="24"/>
          <w:szCs w:val="24"/>
        </w:rPr>
        <w:t xml:space="preserve">Зауваження 4.6.</w:t>
      </w:r>
      <w:r>
        <w:rPr>
          <w:rFonts w:ascii="Times New Roman" w:cs="Times New Roman" w:eastAsia="Times New Roman" w:hAnsi="Times New Roman"/>
          <w:color w:val="1A1A1A"/>
          <w:sz w:val="24"/>
          <w:szCs w:val="24"/>
        </w:rPr>
        <w:t xml:space="preserve"> Кліки розміру k ≥ 5 є </w:t>
      </w:r>
      <w:r>
        <w:rPr>
          <w:rFonts w:ascii="Times New Roman" w:cs="Times New Roman" w:eastAsia="Times New Roman" w:hAnsi="Times New Roman"/>
          <w:i/>
          <w:iCs/>
          <w:color w:val="1A1A1A"/>
          <w:sz w:val="24"/>
          <w:szCs w:val="24"/>
        </w:rPr>
        <w:t xml:space="preserve">достатньою</w:t>
      </w:r>
      <w:r>
        <w:rPr>
          <w:rFonts w:ascii="Times New Roman" w:cs="Times New Roman" w:eastAsia="Times New Roman" w:hAnsi="Times New Roman"/>
          <w:color w:val="1A1A1A"/>
          <w:sz w:val="24"/>
          <w:szCs w:val="24"/>
        </w:rPr>
        <w:t xml:space="preserve"> умовою для підвищення рівня підозри до Moderate (p &lt; 0.005). Кліки k ≥ 6 — до рівня High (p &lt; 10⁻⁸). Кліки k ≥ 7 — до рівня Critical (p &lt; 10⁻¹⁴).</w:t>
      </w:r>
    </w:p>
    <w:p>
      <w:pPr>
        <w:spacing w:after="120" w:line="360"/>
        <w:ind w:firstLine="480"/>
        <w:jc w:val="both"/>
      </w:pPr>
      <w:r>
        <w:rPr>
          <w:rFonts w:ascii="Times New Roman" w:cs="Times New Roman" w:eastAsia="Times New Roman" w:hAnsi="Times New Roman"/>
          <w:b/>
          <w:bCs/>
          <w:color w:val="1A1A1A"/>
          <w:sz w:val="24"/>
          <w:szCs w:val="24"/>
        </w:rPr>
        <w:t xml:space="preserve">Зауваження 4.7.</w:t>
      </w:r>
      <w:r>
        <w:rPr>
          <w:rFonts w:ascii="Times New Roman" w:cs="Times New Roman" w:eastAsia="Times New Roman" w:hAnsi="Times New Roman"/>
          <w:color w:val="1A1A1A"/>
          <w:sz w:val="24"/>
          <w:szCs w:val="24"/>
        </w:rPr>
        <w:t xml:space="preserve"> Модель Ердеша–Реньї передбачає незалежність ребер. У реальних цитатних мережах ребра корелюють через транзитивність та кластеризацію, тому фактична ймовірність утворення клік може бути дещо вищою. Наведені оцінки є верхніми межами і підлягають емпіричному калібруванню.</w:t>
      </w:r>
    </w:p>
    <w:p>
      <w:pPr>
        <w:pStyle w:val="Heading2"/>
        <w:spacing w:before="320" w:after="160"/>
      </w:pPr>
      <w:r>
        <w:rPr>
          <w:rFonts w:ascii="Times New Roman" w:cs="Times New Roman" w:eastAsia="Times New Roman" w:hAnsi="Times New Roman"/>
          <w:b/>
          <w:bCs/>
          <w:color w:val="1A1A1A"/>
          <w:sz w:val="24"/>
          <w:szCs w:val="24"/>
        </w:rPr>
        <w:t xml:space="preserve">4.5. Ієрархія доказовості для виявлення групової змови</w:t>
      </w:r>
    </w:p>
    <w:p>
      <w:pPr>
        <w:spacing w:after="120" w:line="360"/>
        <w:ind w:firstLine="480"/>
        <w:jc w:val="both"/>
      </w:pPr>
      <w:r>
        <w:rPr>
          <w:rFonts w:ascii="Times New Roman" w:cs="Times New Roman" w:eastAsia="Times New Roman" w:hAnsi="Times New Roman"/>
          <w:color w:val="1A1A1A"/>
          <w:sz w:val="24"/>
          <w:szCs w:val="24"/>
        </w:rPr>
        <w:t xml:space="preserve">Три сформульовані теореми утворюють ієрархію доказовості, кожна наступна з яких забезпечує вищий рівень впевненості у наявності координованої маніпуляції.</w:t>
      </w:r>
    </w:p>
    <w:p>
      <w:pPr>
        <w:spacing w:after="120" w:line="360"/>
        <w:ind w:firstLine="480"/>
        <w:jc w:val="both"/>
      </w:pPr>
      <w:r>
        <w:rPr>
          <w:rFonts w:ascii="Times New Roman" w:cs="Times New Roman" w:eastAsia="Times New Roman" w:hAnsi="Times New Roman"/>
          <w:b/>
          <w:bCs/>
          <w:color w:val="1A1A1A"/>
          <w:sz w:val="24"/>
          <w:szCs w:val="24"/>
        </w:rPr>
        <w:t xml:space="preserve">Рівень 1: Теорема 1 (необхідна умова, фільтр).</w:t>
      </w:r>
      <w:r>
        <w:rPr>
          <w:rFonts w:ascii="Times New Roman" w:cs="Times New Roman" w:eastAsia="Times New Roman" w:hAnsi="Times New Roman"/>
          <w:color w:val="1A1A1A"/>
          <w:sz w:val="24"/>
          <w:szCs w:val="24"/>
        </w:rPr>
        <w:t xml:space="preserve"> Перевіряється, чи існують цикли (взаємні цитування) у підграфі авторів G</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[S]. Якщо G</w:t>
      </w:r>
      <w:r>
        <w:rPr>
          <w:rFonts w:ascii="Times New Roman" w:cs="Times New Roman" w:eastAsia="Times New Roman" w:hAnsi="Times New Roman"/>
          <w:i/>
          <w:iCs/>
          <w:color w:val="1A1A1A"/>
          <w:sz w:val="24"/>
          <w:szCs w:val="24"/>
        </w:rPr>
        <w:t xml:space="preserve">auth</w:t>
      </w:r>
      <w:r>
        <w:rPr>
          <w:rFonts w:ascii="Times New Roman" w:cs="Times New Roman" w:eastAsia="Times New Roman" w:hAnsi="Times New Roman"/>
          <w:color w:val="1A1A1A"/>
          <w:sz w:val="24"/>
          <w:szCs w:val="24"/>
        </w:rPr>
        <w:t xml:space="preserve">[S] є DAG — група S виключається з подальшого аналізу на змову. Якщо цикли існують — встановлено необхідну умову, переходимо до Теореми 2. Цей крок є обчислювально найдешевшим і дозволяє відсіяти значну частину «чистих» груп.</w:t>
      </w:r>
    </w:p>
    <w:p>
      <w:pPr>
        <w:spacing w:after="120" w:line="360"/>
        <w:ind w:firstLine="480"/>
        <w:jc w:val="both"/>
      </w:pPr>
      <w:r>
        <w:rPr>
          <w:rFonts w:ascii="Times New Roman" w:cs="Times New Roman" w:eastAsia="Times New Roman" w:hAnsi="Times New Roman"/>
          <w:b/>
          <w:bCs/>
          <w:color w:val="1A1A1A"/>
          <w:sz w:val="24"/>
          <w:szCs w:val="24"/>
        </w:rPr>
        <w:t xml:space="preserve">Рівень 2: Теорема 2 (необхідна умова, кількісний критерій).</w:t>
      </w:r>
      <w:r>
        <w:rPr>
          <w:rFonts w:ascii="Times New Roman" w:cs="Times New Roman" w:eastAsia="Times New Roman" w:hAnsi="Times New Roman"/>
          <w:color w:val="1A1A1A"/>
          <w:sz w:val="24"/>
          <w:szCs w:val="24"/>
        </w:rPr>
        <w:t xml:space="preserve"> Серед груп, що пройшли фільтр Теореми 1, обчислюється індекс взаємності μ(S) та порівнюється з discipline baseline μ</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 σ</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Якщо μ(S) ≤ μ</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+ 3σ</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 взаємність у межах норми, рівень Normal. Якщо μ(S) &gt; μ</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+ 3σ</w:t>
      </w:r>
      <w:r>
        <w:rPr>
          <w:rFonts w:ascii="Times New Roman" w:cs="Times New Roman" w:eastAsia="Times New Roman" w:hAnsi="Times New Roman"/>
          <w:i/>
          <w:iCs/>
          <w:color w:val="1A1A1A"/>
          <w:sz w:val="24"/>
          <w:szCs w:val="24"/>
        </w:rPr>
        <w:t xml:space="preserve">D</w:t>
      </w:r>
      <w:r>
        <w:rPr>
          <w:rFonts w:ascii="Times New Roman" w:cs="Times New Roman" w:eastAsia="Times New Roman" w:hAnsi="Times New Roman"/>
          <w:color w:val="1A1A1A"/>
          <w:sz w:val="24"/>
          <w:szCs w:val="24"/>
        </w:rPr>
        <w:t xml:space="preserve"> — встановлено статистичну аномалію, переходимо до Теореми 3.</w:t>
      </w:r>
    </w:p>
    <w:p>
      <w:pPr>
        <w:spacing w:after="120" w:line="360"/>
        <w:ind w:firstLine="480"/>
        <w:jc w:val="both"/>
      </w:pPr>
      <w:r>
        <w:rPr>
          <w:rFonts w:ascii="Times New Roman" w:cs="Times New Roman" w:eastAsia="Times New Roman" w:hAnsi="Times New Roman"/>
          <w:b/>
          <w:bCs/>
          <w:color w:val="1A1A1A"/>
          <w:sz w:val="24"/>
          <w:szCs w:val="24"/>
        </w:rPr>
        <w:t xml:space="preserve">Рівень 3: Теорема 3 (достатня умова, структурний критерій).</w:t>
      </w:r>
      <w:r>
        <w:rPr>
          <w:rFonts w:ascii="Times New Roman" w:cs="Times New Roman" w:eastAsia="Times New Roman" w:hAnsi="Times New Roman"/>
          <w:color w:val="1A1A1A"/>
          <w:sz w:val="24"/>
          <w:szCs w:val="24"/>
        </w:rPr>
        <w:t xml:space="preserve"> Серед статистично аномальних груп шукаються кліки K</w:t>
      </w:r>
      <w:r>
        <w:rPr>
          <w:rFonts w:ascii="Times New Roman" w:cs="Times New Roman" w:eastAsia="Times New Roman" w:hAnsi="Times New Roman"/>
          <w:i/>
          <w:iCs/>
          <w:color w:val="1A1A1A"/>
          <w:sz w:val="24"/>
          <w:szCs w:val="24"/>
        </w:rPr>
        <w:t xml:space="preserve">k</w:t>
      </w:r>
      <w:r>
        <w:rPr>
          <w:rFonts w:ascii="Times New Roman" w:cs="Times New Roman" w:eastAsia="Times New Roman" w:hAnsi="Times New Roman"/>
          <w:color w:val="1A1A1A"/>
          <w:sz w:val="24"/>
          <w:szCs w:val="24"/>
        </w:rPr>
        <w:t xml:space="preserve"> у графі взаємного цитування G</w:t>
      </w:r>
      <w:r>
        <w:rPr>
          <w:rFonts w:ascii="Times New Roman" w:cs="Times New Roman" w:eastAsia="Times New Roman" w:hAnsi="Times New Roman"/>
          <w:i/>
          <w:iCs/>
          <w:color w:val="1A1A1A"/>
          <w:sz w:val="24"/>
          <w:szCs w:val="24"/>
        </w:rPr>
        <w:t xml:space="preserve">mutual</w:t>
      </w:r>
      <w:r>
        <w:rPr>
          <w:rFonts w:ascii="Times New Roman" w:cs="Times New Roman" w:eastAsia="Times New Roman" w:hAnsi="Times New Roman"/>
          <w:color w:val="1A1A1A"/>
          <w:sz w:val="24"/>
          <w:szCs w:val="24"/>
        </w:rPr>
        <w:t xml:space="preserve">. Результат визначає рівень впевненості: кліку не виявлено або k ≤ 4 — рівень Low/Moderate (потрібен аналіз додаткових індикаторів); k = 5 — Moderate (p &lt; 0.005); k = 6 — High (p &lt; 10⁻⁸); k ≥ 7 — Critical (p &lt; 10⁻¹⁴).</w:t>
      </w:r>
    </w:p>
    <w:p>
      <w:pPr>
        <w:spacing w:after="120" w:line="360"/>
        <w:ind w:firstLine="480"/>
        <w:jc w:val="both"/>
      </w:pPr>
      <w:r>
        <w:rPr>
          <w:rFonts w:ascii="Times New Roman" w:cs="Times New Roman" w:eastAsia="Times New Roman" w:hAnsi="Times New Roman"/>
          <w:color w:val="1A1A1A"/>
          <w:sz w:val="24"/>
          <w:szCs w:val="24"/>
        </w:rPr>
        <w:t xml:space="preserve">Принцип «презумпції невинуватості» реалізується тим, що для досягнення рівня підозри High або Critical необхідне послідовне проходження всіх трьох рівнів ієрархії. Жодна окрема теорема (за винятком Теореми 3 при k ≥ 5) не є самостійно достатньою для серйозних обвинувачень. Ця ієрархія узгоджується із загальним правилом системи CFD: підвищення Fraud Score відбувається лише при одночасному спрацюванні трьох або більше незалежних індикаторів.</w:t>
      </w:r>
    </w:p>
    <w:p>
      <w:pPr>
        <w:pStyle w:val="Heading1"/>
        <w:spacing w:before="400" w:after="200"/>
      </w:pPr>
      <w:r>
        <w:rPr>
          <w:rFonts w:ascii="Times New Roman" w:cs="Times New Roman" w:eastAsia="Times New Roman" w:hAnsi="Times New Roman"/>
          <w:b/>
          <w:bCs/>
          <w:color w:val="1A1A1A"/>
          <w:sz w:val="26"/>
          <w:szCs w:val="26"/>
        </w:rPr>
        <w:t xml:space="preserve">5. Система індикаторів маніпуляцій</w:t>
      </w:r>
    </w:p>
    <w:p>
      <w:pPr>
        <w:spacing w:after="120" w:line="360"/>
        <w:ind w:firstLine="480"/>
        <w:jc w:val="both"/>
      </w:pPr>
      <w:r>
        <w:rPr>
          <w:rFonts w:ascii="Times New Roman" w:cs="Times New Roman" w:eastAsia="Times New Roman" w:hAnsi="Times New Roman"/>
          <w:color w:val="1A1A1A"/>
          <w:sz w:val="24"/>
          <w:szCs w:val="24"/>
        </w:rPr>
        <w:t xml:space="preserve">Ядро системи CFD складає комплекс із п’ятнадцяти незалежних індикаторів, розподілених на чотири категорії: структурні, темпоральні, текстові та крос-платформні. Кожен індикатор оцінюється автономно та вносить зважений внесок у фінальну агреговану оцінку. Нижче описано логіку та обґрунтування кожної категорії.</w:t>
      </w:r>
    </w:p>
    <w:p>
      <w:pPr>
        <w:pStyle w:val="Heading2"/>
        <w:spacing w:before="320" w:after="160"/>
      </w:pPr>
      <w:r>
        <w:rPr>
          <w:rFonts w:ascii="Times New Roman" w:cs="Times New Roman" w:eastAsia="Times New Roman" w:hAnsi="Times New Roman"/>
          <w:b/>
          <w:bCs/>
          <w:color w:val="1A1A1A"/>
          <w:sz w:val="24"/>
          <w:szCs w:val="24"/>
        </w:rPr>
        <w:t xml:space="preserve">5.1. Структурні індикатори</w:t>
      </w:r>
    </w:p>
    <w:p>
      <w:pPr>
        <w:spacing w:after="120" w:line="360"/>
        <w:ind w:firstLine="480"/>
        <w:jc w:val="both"/>
      </w:pPr>
      <w:r>
        <w:rPr>
          <w:rFonts w:ascii="Times New Roman" w:cs="Times New Roman" w:eastAsia="Times New Roman" w:hAnsi="Times New Roman"/>
          <w:color w:val="1A1A1A"/>
          <w:sz w:val="24"/>
          <w:szCs w:val="24"/>
        </w:rPr>
        <w:t xml:space="preserve">Структурні індикатори аналізують топологію цитатного графа та виявляють патерни, характерні для координованих маніпуляцій.</w:t>
      </w:r>
    </w:p>
    <w:p>
      <w:pPr>
        <w:spacing w:after="120" w:line="360"/>
        <w:ind w:firstLine="480"/>
        <w:jc w:val="both"/>
      </w:pPr>
      <w:r>
        <w:rPr>
          <w:rFonts w:ascii="Times New Roman" w:cs="Times New Roman" w:eastAsia="Times New Roman" w:hAnsi="Times New Roman"/>
          <w:color w:val="1A1A1A"/>
          <w:sz w:val="24"/>
          <w:szCs w:val="24"/>
        </w:rPr>
        <w:t xml:space="preserve"/>
      </w:r>
      <w:r>
        <w:rPr>
          <w:rFonts w:ascii="Times New Roman" w:cs="Times New Roman" w:eastAsia="Times New Roman" w:hAnsi="Times New Roman"/>
          <w:b/>
          <w:bCs/>
          <w:color w:val="1A1A1A"/>
          <w:sz w:val="24"/>
          <w:szCs w:val="24"/>
        </w:rPr>
        <w:t xml:space="preserve">Mutual Citation Ratio (MCR)</w:t>
      </w:r>
      <w:r>
        <w:rPr>
          <w:rFonts w:ascii="Times New Roman" w:cs="Times New Roman" w:eastAsia="Times New Roman" w:hAnsi="Times New Roman"/>
          <w:color w:val="1A1A1A"/>
          <w:sz w:val="24"/>
          <w:szCs w:val="24"/>
        </w:rPr>
        <w:t xml:space="preserve"> — індекс взаємності цитувань між парою авторів (формально визначений в Означенні 4.7). MCR(a,b) = 2|cit(a→b) ∩ cit(b→a)| / (|cit(a)| + |cit(b)|). Високий MCR (вище порогу τ = 0.3) свідчить про можливу домовленість. Ефективно реалізується як Cypher-запит у Neo4j: MATCH (a)-[:CITES]-&gt;(b), (b)-[:CITES]-&gt;(a) [13].</w:t>
      </w:r>
    </w:p>
    <w:p>
      <w:pPr>
        <w:spacing w:after="120" w:line="360"/>
        <w:ind w:firstLine="480"/>
        <w:jc w:val="both"/>
      </w:pPr>
      <w:r>
        <w:rPr>
          <w:rFonts w:ascii="Times New Roman" w:cs="Times New Roman" w:eastAsia="Times New Roman" w:hAnsi="Times New Roman"/>
          <w:color w:val="1A1A1A"/>
          <w:sz w:val="24"/>
          <w:szCs w:val="24"/>
        </w:rPr>
        <w:t xml:space="preserve"/>
      </w:r>
      <w:r>
        <w:rPr>
          <w:rFonts w:ascii="Times New Roman" w:cs="Times New Roman" w:eastAsia="Times New Roman" w:hAnsi="Times New Roman"/>
          <w:b/>
          <w:bCs/>
          <w:color w:val="1A1A1A"/>
          <w:sz w:val="24"/>
          <w:szCs w:val="24"/>
        </w:rPr>
        <w:t xml:space="preserve">Self-Citation Ratio (SCR)</w:t>
      </w:r>
      <w:r>
        <w:rPr>
          <w:rFonts w:ascii="Times New Roman" w:cs="Times New Roman" w:eastAsia="Times New Roman" w:hAnsi="Times New Roman"/>
          <w:color w:val="1A1A1A"/>
          <w:sz w:val="24"/>
          <w:szCs w:val="24"/>
        </w:rPr>
        <w:t xml:space="preserve"> = |self_cit(a)| / |cit(a)| — частка самоцитувань автора. Fowler та Aksnes [8] показали, що середній рівень самоцитування становить 10–15% у більшості дисциплін, тоді як у маніпуляторів він може сягати 40–70%. Система використовує двопорогову схему: SCR &gt; 0.25 — попередження, SCR &gt; 0.40 — високий рівень підозри, із нормалізацією за discipline baseline.</w:t>
      </w:r>
    </w:p>
    <w:p>
      <w:pPr>
        <w:spacing w:after="120" w:line="360"/>
        <w:ind w:firstLine="480"/>
        <w:jc w:val="both"/>
      </w:pPr>
      <w:r>
        <w:rPr>
          <w:rFonts w:ascii="Times New Roman" w:cs="Times New Roman" w:eastAsia="Times New Roman" w:hAnsi="Times New Roman"/>
          <w:color w:val="1A1A1A"/>
          <w:sz w:val="24"/>
          <w:szCs w:val="24"/>
        </w:rPr>
        <w:t xml:space="preserve"/>
      </w:r>
      <w:r>
        <w:rPr>
          <w:rFonts w:ascii="Times New Roman" w:cs="Times New Roman" w:eastAsia="Times New Roman" w:hAnsi="Times New Roman"/>
          <w:b/>
          <w:bCs/>
          <w:color w:val="1A1A1A"/>
          <w:sz w:val="24"/>
          <w:szCs w:val="24"/>
        </w:rPr>
        <w:t xml:space="preserve">Citation Bottleneck (CB)</w:t>
      </w:r>
      <w:r>
        <w:rPr>
          <w:rFonts w:ascii="Times New Roman" w:cs="Times New Roman" w:eastAsia="Times New Roman" w:hAnsi="Times New Roman"/>
          <w:color w:val="1A1A1A"/>
          <w:sz w:val="24"/>
          <w:szCs w:val="24"/>
        </w:rPr>
        <w:t xml:space="preserve"> = maxₖ(citₖ→a) / |cit(→a)| — частка цитувань від домінуючого джерела. CB &gt; 0.30 є ознакою citation farm або договірної домовленості.</w:t>
      </w:r>
    </w:p>
    <w:p>
      <w:pPr>
        <w:spacing w:after="120" w:line="360"/>
        <w:ind w:firstLine="480"/>
        <w:jc w:val="both"/>
      </w:pPr>
      <w:r>
        <w:rPr>
          <w:rFonts w:ascii="Times New Roman" w:cs="Times New Roman" w:eastAsia="Times New Roman" w:hAnsi="Times New Roman"/>
          <w:color w:val="1A1A1A"/>
          <w:sz w:val="24"/>
          <w:szCs w:val="24"/>
        </w:rPr>
        <w:t xml:space="preserve"/>
      </w:r>
      <w:r>
        <w:rPr>
          <w:rFonts w:ascii="Times New Roman" w:cs="Times New Roman" w:eastAsia="Times New Roman" w:hAnsi="Times New Roman"/>
          <w:b/>
          <w:bCs/>
          <w:color w:val="1A1A1A"/>
          <w:sz w:val="24"/>
          <w:szCs w:val="24"/>
        </w:rPr>
        <w:t xml:space="preserve">Geographic/Institutional Clustering (GIC)</w:t>
      </w:r>
      <w:r>
        <w:rPr>
          <w:rFonts w:ascii="Times New Roman" w:cs="Times New Roman" w:eastAsia="Times New Roman" w:hAnsi="Times New Roman"/>
          <w:color w:val="1A1A1A"/>
          <w:sz w:val="24"/>
          <w:szCs w:val="24"/>
        </w:rPr>
        <w:t xml:space="preserve">: для оцінки концентрації використовується ентропія Шеннона: H = −Σpᵢ log₂ pᵢ, де pᵢ — частка цитувань від i-тої установи. Низька ентропія (H &lt; H</w:t>
      </w:r>
      <w:r>
        <w:rPr>
          <w:rFonts w:ascii="Times New Roman" w:cs="Times New Roman" w:eastAsia="Times New Roman" w:hAnsi="Times New Roman"/>
          <w:i/>
          <w:iCs/>
          <w:color w:val="1A1A1A"/>
          <w:sz w:val="24"/>
          <w:szCs w:val="24"/>
        </w:rPr>
        <w:t xml:space="preserve">baseline</w:t>
      </w:r>
      <w:r>
        <w:rPr>
          <w:rFonts w:ascii="Times New Roman" w:cs="Times New Roman" w:eastAsia="Times New Roman" w:hAnsi="Times New Roman"/>
          <w:color w:val="1A1A1A"/>
          <w:sz w:val="24"/>
          <w:szCs w:val="24"/>
        </w:rPr>
        <w:t xml:space="preserve"> − 2σ) свідчить про аномальну інституційну концентрацію, характерну для citation rings [7].</w:t>
      </w:r>
    </w:p>
    <w:p>
      <w:pPr>
        <w:spacing w:after="120" w:line="360"/>
        <w:ind w:firstLine="480"/>
        <w:jc w:val="both"/>
      </w:pPr>
      <w:r>
        <w:rPr>
          <w:rFonts w:ascii="Times New Roman" w:cs="Times New Roman" w:eastAsia="Times New Roman" w:hAnsi="Times New Roman"/>
          <w:color w:val="1A1A1A"/>
          <w:sz w:val="24"/>
          <w:szCs w:val="24"/>
        </w:rPr>
        <w:t xml:space="preserve">Journal-Level Citation Analysis (JCA) переносить фокус на рівень журналу, виявляючи coercive citation practices: надмірний journal self-citation rate або вимоги цитувати попередні випуски. Authorship Network Anomaly (ANA) аналізує мережу співавторства для виявлення «гостьового» та «гіфтового» авторства [38]. Reference List Anomaly (RLA) аналізує списки літератури, виявляючи непропорційну частку посилань на одних і тих же авторів або тематично невідповідні посилання.</w:t>
      </w:r>
    </w:p>
    <w:p>
      <w:pPr>
        <w:pStyle w:val="Heading2"/>
        <w:spacing w:before="320" w:after="160"/>
      </w:pPr>
      <w:r>
        <w:rPr>
          <w:rFonts w:ascii="Times New Roman" w:cs="Times New Roman" w:eastAsia="Times New Roman" w:hAnsi="Times New Roman"/>
          <w:b/>
          <w:bCs/>
          <w:color w:val="1A1A1A"/>
          <w:sz w:val="24"/>
          <w:szCs w:val="24"/>
        </w:rPr>
        <w:t xml:space="preserve">5.2. Темпоральні індикатори</w:t>
      </w:r>
    </w:p>
    <w:p>
      <w:pPr>
        <w:spacing w:after="120" w:line="360"/>
        <w:ind w:firstLine="480"/>
        <w:jc w:val="both"/>
      </w:pPr>
      <w:r>
        <w:rPr>
          <w:rFonts w:ascii="Times New Roman" w:cs="Times New Roman" w:eastAsia="Times New Roman" w:hAnsi="Times New Roman"/>
          <w:color w:val="1A1A1A"/>
          <w:sz w:val="24"/>
          <w:szCs w:val="24"/>
        </w:rPr>
        <w:t xml:space="preserve">Темпоральні індикатори аналізують динаміку цитувань у часі, спираючись на закон старіння наукової літератури Price [15] та дослідження темпоральних патернів Parolo зі співавторами [32]. Temporal Anomaly (TA) виявляє різкі стрибки цитувань через Z-score аналіз: якщо місячний або річний приріст цитувань перевищує три стандартних відхилення від ковзного середнього, фіксується аномалія.</w:t>
      </w:r>
    </w:p>
    <w:p>
      <w:pPr>
        <w:spacing w:after="120" w:line="360"/>
        <w:ind w:firstLine="480"/>
        <w:jc w:val="both"/>
      </w:pPr>
      <w:r>
        <w:rPr>
          <w:rFonts w:ascii="Times New Roman" w:cs="Times New Roman" w:eastAsia="Times New Roman" w:hAnsi="Times New Roman"/>
          <w:color w:val="1A1A1A"/>
          <w:sz w:val="24"/>
          <w:szCs w:val="24"/>
        </w:rPr>
        <w:t xml:space="preserve">h-Index Temporal Analysis (HTA) досліджує динаміку h-індексу як функції часу h(t). Згідно з Hirsch [33], очікуваний темп зростання h-індексу можна оцінити через параметр m, що залежить від дисципліни. Якщо dh/dt різко зростає без відповідного збільшення кількості публікацій N(t), це є ознакою маніпуляції. У нормальних дослідників криві h(t) та N(t) корелюють; у маніпуляторів h(t) часто демонструє ступінчасту функцію з різкими стрибками, тоді як N(t) зростає лінійно [34].</w:t>
      </w:r>
    </w:p>
    <w:p>
      <w:pPr>
        <w:spacing w:after="120" w:line="360"/>
        <w:ind w:firstLine="480"/>
        <w:jc w:val="both"/>
      </w:pPr>
      <w:r>
        <w:rPr>
          <w:rFonts w:ascii="Times New Roman" w:cs="Times New Roman" w:eastAsia="Times New Roman" w:hAnsi="Times New Roman"/>
          <w:color w:val="1A1A1A"/>
          <w:sz w:val="24"/>
          <w:szCs w:val="24"/>
        </w:rPr>
        <w:t xml:space="preserve">Citation Velocity (CV) вимірює швидкість набору цитувань окремою статтею, нормалізовану за рангом журналу. Стаття, яка отримує п’ятдесят цитувань протягом першого місяця після публікації у журналі третього квартиля, є підозрілою; та ж кількість у Nature є природною. Нормалізація за квартилями журналу (Q1–Q4) дозволяє уникнути хибних спрацювань. Поріг визначається як п’ятикратне перевищення медіани для відповідного квартиля.</w:t>
      </w:r>
    </w:p>
    <w:p>
      <w:pPr>
        <w:spacing w:after="120" w:line="360"/>
        <w:ind w:firstLine="480"/>
        <w:jc w:val="both"/>
      </w:pPr>
      <w:r>
        <w:rPr>
          <w:rFonts w:ascii="Times New Roman" w:cs="Times New Roman" w:eastAsia="Times New Roman" w:hAnsi="Times New Roman"/>
          <w:color w:val="1A1A1A"/>
          <w:sz w:val="24"/>
          <w:szCs w:val="24"/>
        </w:rPr>
        <w:t xml:space="preserve">Sleeping Beauty Detector (SBD) кількісно ідентифікує «сплячих красунь» за Beauty Coefficient Ke зі співавторами [31]. Хоча «пробудження» старої статті може бути цілком легітимним — наприклад, роботи Менделя з генетики були «перевідкриті» через 35 років — той самий патерн використовується маніпуляторами для штучного «оживлення» старих публікацій. Система розрізняє ці випадки через перехресну перевірку: якщо «пробудження» корелює з появою нової гарячої теми чи мета-аналізу, воно вважається легітимним; якщо з появою citation ring або одного домінуючого джерела цитувань — підозрілим.</w:t>
      </w:r>
    </w:p>
    <w:p>
      <w:pPr>
        <w:pStyle w:val="Heading2"/>
        <w:spacing w:before="320" w:after="160"/>
      </w:pPr>
      <w:r>
        <w:rPr>
          <w:rFonts w:ascii="Times New Roman" w:cs="Times New Roman" w:eastAsia="Times New Roman" w:hAnsi="Times New Roman"/>
          <w:b/>
          <w:bCs/>
          <w:color w:val="1A1A1A"/>
          <w:sz w:val="24"/>
          <w:szCs w:val="24"/>
        </w:rPr>
        <w:t xml:space="preserve">5.3. Текстові індикатори</w:t>
      </w:r>
    </w:p>
    <w:p>
      <w:pPr>
        <w:spacing w:after="120" w:line="360"/>
        <w:ind w:firstLine="480"/>
        <w:jc w:val="both"/>
      </w:pPr>
      <w:r>
        <w:rPr>
          <w:rFonts w:ascii="Times New Roman" w:cs="Times New Roman" w:eastAsia="Times New Roman" w:hAnsi="Times New Roman"/>
          <w:color w:val="1A1A1A"/>
          <w:sz w:val="24"/>
          <w:szCs w:val="24"/>
        </w:rPr>
        <w:t xml:space="preserve">Salami Slicing Detector (SSD) виявляє розбиття одного дослідження на множину мінімальних публікацій — практику, що штучно збільшує кількість статей та потенційних цитувань. Реалізація базується на sentence embeddings, що зберігаються у PostgreSQL через розширення pgvector. Для кожної пари статей одного автора розраховується cosine similarity між embeddings абстрактів; якщо подібність перевищує 0.7, а інтервал між публікаціями менший за 30 днів, стаття позначається як потенційний випадок salami slicing. Цей підхід розвиває ідеї Cabanac та Labbé [24], які запропонували текстовий аналіз для виявлення paper mills.</w:t>
      </w:r>
    </w:p>
    <w:p>
      <w:pPr>
        <w:spacing w:after="120" w:line="360"/>
        <w:ind w:firstLine="480"/>
        <w:jc w:val="both"/>
      </w:pPr>
      <w:r>
        <w:rPr>
          <w:rFonts w:ascii="Times New Roman" w:cs="Times New Roman" w:eastAsia="Times New Roman" w:hAnsi="Times New Roman"/>
          <w:color w:val="1A1A1A"/>
          <w:sz w:val="24"/>
          <w:szCs w:val="24"/>
        </w:rPr>
        <w:t xml:space="preserve">Citation Cannibalism (CC) виявляє статті, де самоцитування складають непропорційну частку списку літератури (CC &gt; 0.50). Систематично високий CC по всіх публікаціях автора є одночасно ознакою self-citation stacking та salami slicing. Кореляція CC з SSD створює потужний подвійний сигнал.</w:t>
      </w:r>
    </w:p>
    <w:p>
      <w:pPr>
        <w:pStyle w:val="Heading2"/>
        <w:spacing w:before="320" w:after="160"/>
      </w:pPr>
      <w:r>
        <w:rPr>
          <w:rFonts w:ascii="Times New Roman" w:cs="Times New Roman" w:eastAsia="Times New Roman" w:hAnsi="Times New Roman"/>
          <w:b/>
          <w:bCs/>
          <w:color w:val="1A1A1A"/>
          <w:sz w:val="24"/>
          <w:szCs w:val="24"/>
        </w:rPr>
        <w:t xml:space="preserve">5.4. Крос-платформний індикатор та Peer Benchmark</w:t>
      </w:r>
    </w:p>
    <w:p>
      <w:pPr>
        <w:spacing w:after="120" w:line="360"/>
        <w:ind w:firstLine="480"/>
        <w:jc w:val="both"/>
      </w:pPr>
      <w:r>
        <w:rPr>
          <w:rFonts w:ascii="Times New Roman" w:cs="Times New Roman" w:eastAsia="Times New Roman" w:hAnsi="Times New Roman"/>
          <w:color w:val="1A1A1A"/>
          <w:sz w:val="24"/>
          <w:szCs w:val="24"/>
        </w:rPr>
        <w:t xml:space="preserve">Cross-Platform Consistency Check (CPC) порівнює метрики автора між OpenAlex, Scopus та іншими базами. Суттєве розходження — понад 20% — у кількості публікацій, цитувань або h-індексі може свідчити про маніпуляцію з профілями, зокрема приєднання чужих публікацій до свого профілю Google Scholar [39].</w:t>
      </w:r>
    </w:p>
    <w:p>
      <w:pPr>
        <w:spacing w:after="120" w:line="360"/>
        <w:ind w:firstLine="480"/>
        <w:jc w:val="both"/>
      </w:pPr>
      <w:r>
        <w:rPr>
          <w:rFonts w:ascii="Times New Roman" w:cs="Times New Roman" w:eastAsia="Times New Roman" w:hAnsi="Times New Roman"/>
          <w:color w:val="1A1A1A"/>
          <w:sz w:val="24"/>
          <w:szCs w:val="24"/>
        </w:rPr>
        <w:t xml:space="preserve">Peer Benchmark (PB) замінює грубий discipline baseline контекстуалізованим порівнянням. Замість порівняння автора із середнім по галузі система підбирає 10–20 «двійників» за алгоритмом k-NN у просторі ознак: дисципліна, рік першої публікації, обсяг публікацій. Z-score відхилення від медіани peer group для кожного індикатора забезпечує значно точніше виявлення аномалій, оскільки враховує кар’єрний етап та специфіку підгалузі [40].</w:t>
      </w:r>
    </w:p>
    <w:p>
      <w:pPr>
        <w:pStyle w:val="Heading1"/>
        <w:spacing w:before="400" w:after="200"/>
      </w:pPr>
      <w:r>
        <w:rPr>
          <w:rFonts w:ascii="Times New Roman" w:cs="Times New Roman" w:eastAsia="Times New Roman" w:hAnsi="Times New Roman"/>
          <w:b/>
          <w:bCs/>
          <w:color w:val="1A1A1A"/>
          <w:sz w:val="26"/>
          <w:szCs w:val="26"/>
        </w:rPr>
        <w:t xml:space="preserve">6. Система рівнів впевненості та контекстуальний аналіз</w:t>
      </w:r>
    </w:p>
    <w:p>
      <w:pPr>
        <w:pStyle w:val="Heading2"/>
        <w:spacing w:before="320" w:after="160"/>
      </w:pPr>
      <w:r>
        <w:rPr>
          <w:rFonts w:ascii="Times New Roman" w:cs="Times New Roman" w:eastAsia="Times New Roman" w:hAnsi="Times New Roman"/>
          <w:b/>
          <w:bCs/>
          <w:color w:val="1A1A1A"/>
          <w:sz w:val="24"/>
          <w:szCs w:val="24"/>
        </w:rPr>
        <w:t xml:space="preserve">6.1. П’ятирівнева шкала та агрегація</w:t>
      </w:r>
    </w:p>
    <w:p>
      <w:pPr>
        <w:spacing w:after="120" w:line="360"/>
        <w:ind w:firstLine="480"/>
        <w:jc w:val="both"/>
      </w:pPr>
      <w:r>
        <w:rPr>
          <w:rFonts w:ascii="Times New Roman" w:cs="Times New Roman" w:eastAsia="Times New Roman" w:hAnsi="Times New Roman"/>
          <w:color w:val="1A1A1A"/>
          <w:sz w:val="24"/>
          <w:szCs w:val="24"/>
        </w:rPr>
        <w:t xml:space="preserve">Фундаментальним принципом системи CFD є відмова від бінарної класифікації «фрод / не фрод» на користь градуйованої шкали впевненості. Система використовує п’ять рівнів: Normal (0.0–0.2), Low Concern (0.2–0.4), Moderate (0.4–0.6), High (0.6–0.8) та Critical (0.8–1.0). Кожен рівень супроводжується рекомендованою дією — від «не потребує дій» до «необхідна ескалація для розслідування» — що забезпечує пропорційну реакцію.</w:t>
      </w:r>
    </w:p>
    <w:p>
      <w:pPr>
        <w:spacing w:after="120" w:line="360"/>
        <w:ind w:firstLine="480"/>
        <w:jc w:val="both"/>
      </w:pPr>
      <w:r>
        <w:rPr>
          <w:rFonts w:ascii="Times New Roman" w:cs="Times New Roman" w:eastAsia="Times New Roman" w:hAnsi="Times New Roman"/>
          <w:color w:val="1A1A1A"/>
          <w:sz w:val="24"/>
          <w:szCs w:val="24"/>
        </w:rPr>
        <w:t xml:space="preserve">Фінальна оцінка Fraud Score розраховується як зважена сума балів індивідуальних індикаторів:</w:t>
      </w:r>
    </w:p>
    <w:p>
      <w:pPr>
        <w:spacing w:before="140" w:after="140"/>
        <w:jc w:val="center"/>
      </w:pPr>
      <w:r>
        <w:rPr>
          <w:rFonts w:ascii="Times New Roman" w:cs="Times New Roman" w:eastAsia="Times New Roman" w:hAnsi="Times New Roman"/>
          <w:i/>
          <w:iCs/>
          <w:color w:val="1A1A1A"/>
          <w:sz w:val="24"/>
          <w:szCs w:val="24"/>
        </w:rPr>
        <w:t xml:space="preserve">Fraud Score = Σ(wᵢ × indicatorᵢ) / Σ(wᵢ)</w:t>
      </w:r>
    </w:p>
    <w:p>
      <w:pPr>
        <w:spacing w:after="120" w:line="360"/>
        <w:ind w:firstLine="480"/>
        <w:jc w:val="both"/>
      </w:pPr>
      <w:r>
        <w:rPr>
          <w:rFonts w:ascii="Times New Roman" w:cs="Times New Roman" w:eastAsia="Times New Roman" w:hAnsi="Times New Roman"/>
          <w:color w:val="1A1A1A"/>
          <w:sz w:val="24"/>
          <w:szCs w:val="24"/>
        </w:rPr>
        <w:t xml:space="preserve">де wᵢ — вага індикатора, калібрована на навчальній вибірці відомих випадків маніпуляцій. Ваги відображають діагностичну цінність: структурні індикатори, такі як виявлення клік або citation bottleneck, отримують вищу вагу, ніж окремі порогові перевірки. Підхід зваженої агрегації дозволяє системі адаптуватися до різних профілів маніпуляцій — від індивідуального самоцитування (де домінують SCR та CC) до координованих citation rings (де домінують MCR, GIC та кліки).</w:t>
      </w:r>
    </w:p>
    <w:p>
      <w:pPr>
        <w:pStyle w:val="Heading2"/>
        <w:spacing w:before="320" w:after="160"/>
      </w:pPr>
      <w:r>
        <w:rPr>
          <w:rFonts w:ascii="Times New Roman" w:cs="Times New Roman" w:eastAsia="Times New Roman" w:hAnsi="Times New Roman"/>
          <w:b/>
          <w:bCs/>
          <w:color w:val="1A1A1A"/>
          <w:sz w:val="24"/>
          <w:szCs w:val="24"/>
        </w:rPr>
        <w:t xml:space="preserve">6.2. Алгоритм контекстуальної перевірки</w:t>
      </w:r>
    </w:p>
    <w:p>
      <w:pPr>
        <w:spacing w:after="120" w:line="360"/>
        <w:ind w:firstLine="480"/>
        <w:jc w:val="both"/>
      </w:pPr>
      <w:r>
        <w:rPr>
          <w:rFonts w:ascii="Times New Roman" w:cs="Times New Roman" w:eastAsia="Times New Roman" w:hAnsi="Times New Roman"/>
          <w:color w:val="1A1A1A"/>
          <w:sz w:val="24"/>
          <w:szCs w:val="24"/>
        </w:rPr>
        <w:t xml:space="preserve">Вибухове зростання h-індексу є не діагнозом, а симптомом, що може мати як легітимні, так і маніпулятивні причини. Серед легітимних причин: ефект прориву (breakthrough effect), коли фундаментальна робота каскадно підтягує цитування суміжних публікацій; ефект «гарячої теми», коли ранні роботи стають першоджерелами у новому мейнстрімі; зміна афіліації з переходом до провідного університету; публікація впливової review-статті; отримання престижної наукової нагороди [41].</w:t>
      </w:r>
    </w:p>
    <w:p>
      <w:pPr>
        <w:spacing w:after="120" w:line="360"/>
        <w:ind w:firstLine="480"/>
        <w:jc w:val="both"/>
      </w:pPr>
      <w:r>
        <w:rPr>
          <w:rFonts w:ascii="Times New Roman" w:cs="Times New Roman" w:eastAsia="Times New Roman" w:hAnsi="Times New Roman"/>
          <w:color w:val="1A1A1A"/>
          <w:sz w:val="24"/>
          <w:szCs w:val="24"/>
        </w:rPr>
        <w:t xml:space="preserve">Для розрізнення легітимного та маніпулятивного зростання система виконує чотирикроковий алгоритм контекстуальної перевірки. На першому кроці Temporal Anomaly фіксує стрибок, і Fraud Score встановлюється на рівні Low Concern. На другому кроці система автоматично перевіряє контекст: чи є публікація-прорив у топ-журналі, чи змінилася наукова тема, чи отримано нагороду, чи відбулася подія в галузі. На третьому кроці перевіряються структурні індикатори: MCR, Citation Bottleneck, GIC, наявність клік у Neo4j. Лише на четвертому кроці, якщо спрацювали три або більше незалежних індикатори одночасно, Fraud Score підвищується до рівня Moderate або вище.</w:t>
      </w:r>
    </w:p>
    <w:p>
      <w:pPr>
        <w:spacing w:after="120" w:line="360"/>
        <w:ind w:firstLine="480"/>
        <w:jc w:val="both"/>
      </w:pPr>
      <w:r>
        <w:rPr>
          <w:rFonts w:ascii="Times New Roman" w:cs="Times New Roman" w:eastAsia="Times New Roman" w:hAnsi="Times New Roman"/>
          <w:color w:val="1A1A1A"/>
          <w:sz w:val="24"/>
          <w:szCs w:val="24"/>
        </w:rPr>
        <w:t xml:space="preserve">Цей підхід реалізує принцип «презумпції невинуватості»: один стрибок h-індексу є лише інформацією для уваги; стрибок у поєднанні з клікою, citation bottleneck та географічним кластером — це патерн, що потребує розслідування. Така логіка суттєво знижує false positive rate порівняно з однофакторними підходами.</w:t>
      </w:r>
    </w:p>
    <w:p>
      <w:pPr>
        <w:pStyle w:val="Heading1"/>
        <w:spacing w:before="400" w:after="200"/>
      </w:pPr>
      <w:r>
        <w:rPr>
          <w:rFonts w:ascii="Times New Roman" w:cs="Times New Roman" w:eastAsia="Times New Roman" w:hAnsi="Times New Roman"/>
          <w:b/>
          <w:bCs/>
          <w:color w:val="1A1A1A"/>
          <w:sz w:val="26"/>
          <w:szCs w:val="26"/>
        </w:rPr>
        <w:t xml:space="preserve">7. Особливості реалізації</w:t>
      </w:r>
    </w:p>
    <w:p>
      <w:pPr>
        <w:spacing w:after="120" w:line="360"/>
        <w:ind w:firstLine="480"/>
        <w:jc w:val="both"/>
      </w:pPr>
      <w:r>
        <w:rPr>
          <w:rFonts w:ascii="Times New Roman" w:cs="Times New Roman" w:eastAsia="Times New Roman" w:hAnsi="Times New Roman"/>
          <w:color w:val="1A1A1A"/>
          <w:sz w:val="24"/>
          <w:szCs w:val="24"/>
        </w:rPr>
        <w:t xml:space="preserve">Система реалізована мовою Python 3.10+ з використанням NetworkX та igraph для in-memory графового аналізу, Neo4j із бібліотекою GDS для нативних графових запитів, PostgreSQL із pgvector для реляційного зберігання та sentence embeddings, Pandas та NumPy для статистичного аналізу, Plotly для інтерактивної візуалізації та FastAPI для зовнішнього REST API.</w:t>
      </w:r>
    </w:p>
    <w:p>
      <w:pPr>
        <w:spacing w:after="120" w:line="360"/>
        <w:ind w:firstLine="480"/>
        <w:jc w:val="both"/>
      </w:pPr>
      <w:r>
        <w:rPr>
          <w:rFonts w:ascii="Times New Roman" w:cs="Times New Roman" w:eastAsia="Times New Roman" w:hAnsi="Times New Roman"/>
          <w:color w:val="1A1A1A"/>
          <w:sz w:val="24"/>
          <w:szCs w:val="24"/>
        </w:rPr>
        <w:t xml:space="preserve">Графова модель у Neo4j містить чотири типи вузлів (Author, Publication, Journal, Institution) та чотири типи ребер (CITES, AUTHORED, PUBLISHED_IN, AFFILIATED_WITH). Ребро CITES є зваженим та містить часову мітку citation_date — атрибут, критичний для темпорального аналізу. Ключові аналітичні запити реалізовані як параметризовані Cypher-шаблони: пошук циклів довільної довжини для виявлення citation rings, community detection через CALL gds.louvain.stream(), розрахунок центральностей через gds.pageRank.stream() та gds.betweenness.stream().</w:t>
      </w:r>
    </w:p>
    <w:p>
      <w:pPr>
        <w:spacing w:after="120" w:line="360"/>
        <w:ind w:firstLine="480"/>
        <w:jc w:val="both"/>
      </w:pPr>
      <w:r>
        <w:rPr>
          <w:rFonts w:ascii="Times New Roman" w:cs="Times New Roman" w:eastAsia="Times New Roman" w:hAnsi="Times New Roman"/>
          <w:color w:val="1A1A1A"/>
          <w:sz w:val="24"/>
          <w:szCs w:val="24"/>
        </w:rPr>
        <w:t xml:space="preserve">Для практичного впровадження система надає REST API із OpenAPI-документацією, що дозволяє інтегрувати CFD з університетськими CRIS-системами (Pure, Converis, VIVO). API підтримує: отримання повного звіту по автору, batch-аналіз списку авторів, управління Watch-list та отримання історії змін метрик. Механізм Watch-list забезпечує безперервний моніторинг: автор додається до списку спостереження, система періодично виконує інкрементальне оновлення та генерує нотифікації при зміні Fraud Score на 0.1 або більше.</w:t>
      </w:r>
    </w:p>
    <w:p>
      <w:pPr>
        <w:pStyle w:val="Heading1"/>
        <w:spacing w:before="400" w:after="200"/>
      </w:pPr>
      <w:r>
        <w:rPr>
          <w:rFonts w:ascii="Times New Roman" w:cs="Times New Roman" w:eastAsia="Times New Roman" w:hAnsi="Times New Roman"/>
          <w:b/>
          <w:bCs/>
          <w:color w:val="1A1A1A"/>
          <w:sz w:val="26"/>
          <w:szCs w:val="26"/>
        </w:rPr>
        <w:t xml:space="preserve">8. Обговорення</w:t>
      </w:r>
    </w:p>
    <w:p>
      <w:pPr>
        <w:spacing w:after="120" w:line="360"/>
        <w:ind w:firstLine="480"/>
        <w:jc w:val="both"/>
      </w:pPr>
      <w:r>
        <w:rPr>
          <w:rFonts w:ascii="Times New Roman" w:cs="Times New Roman" w:eastAsia="Times New Roman" w:hAnsi="Times New Roman"/>
          <w:color w:val="1A1A1A"/>
          <w:sz w:val="24"/>
          <w:szCs w:val="24"/>
        </w:rPr>
        <w:t xml:space="preserve">Запропонована система суттєво відрізняється від існуючих підходів за кількома ключовими параметрами. По-перше, на відміну від інструментів, що оперують агрегованими метриками (JCR, SJR, CiteScore), CFD виконує глибокий структурний аналіз цитатного графа, виявляючи приховані патерни координації. По-друге, комбінація п’ятнадцяти індикаторів із чотирьох незалежних категорій забезпечує робастність: маніпулятор може обійти один-два індикатори, але обійти п’ятнадцять одночасно значно складніше. По-третє, алгоритм контекстуальної перевірки із правилом «≥3 індикаторів» балансує між чутливістю та специфічністю, знижуючи ризик хибних звинувачень.</w:t>
      </w:r>
    </w:p>
    <w:p>
      <w:pPr>
        <w:spacing w:after="120" w:line="360"/>
        <w:ind w:firstLine="480"/>
        <w:jc w:val="both"/>
      </w:pPr>
      <w:r>
        <w:rPr>
          <w:rFonts w:ascii="Times New Roman" w:cs="Times New Roman" w:eastAsia="Times New Roman" w:hAnsi="Times New Roman"/>
          <w:color w:val="1A1A1A"/>
          <w:sz w:val="24"/>
          <w:szCs w:val="24"/>
        </w:rPr>
        <w:t xml:space="preserve">Серед обмежень слід зазначити залежність від якості даних API: неповнота або помилки в OpenAlex та Scopus транслюються в результати аналізу. Проблема ground truth — відсутність масштабної верифікованої вибірки відомих маніпуляцій — ускладнює калібрування порогів та ваг індикаторів. Обчислювальна складність повного графового аналізу для автора з тисячами публікацій може бути значною, хоча трирівнева архітектура зберігання частково вирішує цю проблему через кешування та інкрементальне оновлення. Нарешті, маніпулятори адаптуються до методів детекції, що потребує постійного оновлення індикаторів — свого роду «гонка озброєнь» між системами детекції та практиками маніпуляцій [42].</w:t>
      </w:r>
    </w:p>
    <w:p>
      <w:pPr>
        <w:spacing w:after="120" w:line="360"/>
        <w:ind w:firstLine="480"/>
        <w:jc w:val="both"/>
      </w:pPr>
      <w:r>
        <w:rPr>
          <w:rFonts w:ascii="Times New Roman" w:cs="Times New Roman" w:eastAsia="Times New Roman" w:hAnsi="Times New Roman"/>
          <w:color w:val="1A1A1A"/>
          <w:sz w:val="24"/>
          <w:szCs w:val="24"/>
        </w:rPr>
        <w:t xml:space="preserve">Для вирішення проблеми калібрування ваг wᵢ при відсутності великої верифікованої вибірки планується використання підходів напівавтоматичного навчання (semi-supervised learning), де позитивними прикладами слугуватимуть відомі з літератури випадки citation rings та ретрагованих статей (зокрема з бази Retraction Watch та PubPeer), а також методи детекції аномалій (anomaly detection) для виявлення екстремальних відхилень, які з високою ймовірністю є маніпуляціями. Ієрархія доказовості (Теореми 1–3) забезпечує математичну основу для такого калібрування: пороги Теореми 3 (розмір клік k ≥ 5) дають природний anchor point для рівня Moderate, відносно якого калібруються ваги інших індикаторів.</w:t>
      </w:r>
    </w:p>
    <w:p>
      <w:pPr>
        <w:spacing w:after="120" w:line="360"/>
        <w:ind w:firstLine="480"/>
        <w:jc w:val="both"/>
      </w:pPr>
      <w:r>
        <w:rPr>
          <w:rFonts w:ascii="Times New Roman" w:cs="Times New Roman" w:eastAsia="Times New Roman" w:hAnsi="Times New Roman"/>
          <w:color w:val="1A1A1A"/>
          <w:sz w:val="24"/>
          <w:szCs w:val="24"/>
        </w:rPr>
        <w:t xml:space="preserve">Етичний вимір системи заслуговує на окрему увагу. Будь-яка автоматизована система оцінки наукової доброчесності несе ризик хибних звинувачень, наслідки яких для кар’єри дослідника можуть бути катастрофічними. Тому CFD принципово позиціонується як інструмент підтримки прийняття рішень, а не як автоматичний суддя. Fraud Score — це оцінка підозрілості, не вирок. Кожен спрацьований індикатор супроводжується контекстом та поясненням, звіт містить явне застереження щодо можливих хибних спрацювань, а остаточне рішення завжди залишається за людиною — етичним комітетом, редакційною колегією або грантовою агенцією.</w:t>
      </w:r>
    </w:p>
    <w:p>
      <w:pPr>
        <w:pStyle w:val="Heading1"/>
        <w:spacing w:before="400" w:after="200"/>
      </w:pPr>
      <w:r>
        <w:rPr>
          <w:rFonts w:ascii="Times New Roman" w:cs="Times New Roman" w:eastAsia="Times New Roman" w:hAnsi="Times New Roman"/>
          <w:b/>
          <w:bCs/>
          <w:color w:val="1A1A1A"/>
          <w:sz w:val="26"/>
          <w:szCs w:val="26"/>
        </w:rPr>
        <w:t xml:space="preserve">9. Висновки</w:t>
      </w:r>
    </w:p>
    <w:p>
      <w:pPr>
        <w:spacing w:after="120" w:line="360"/>
        <w:ind w:firstLine="480"/>
        <w:jc w:val="both"/>
      </w:pPr>
      <w:r>
        <w:rPr>
          <w:rFonts w:ascii="Times New Roman" w:cs="Times New Roman" w:eastAsia="Times New Roman" w:hAnsi="Times New Roman"/>
          <w:color w:val="1A1A1A"/>
          <w:sz w:val="24"/>
          <w:szCs w:val="24"/>
        </w:rPr>
        <w:t xml:space="preserve">У даній роботі представлено архітектуру та алгоритмічне забезпечення системи Citation Fraud Detector — комплексного інструменту для виявлення маніпуляцій із наукометричними показниками. Основні результати роботи полягають у наступному.</w:t>
      </w:r>
    </w:p>
    <w:p>
      <w:pPr>
        <w:spacing w:after="120" w:line="360"/>
        <w:ind w:firstLine="480"/>
        <w:jc w:val="both"/>
      </w:pPr>
      <w:r>
        <w:rPr>
          <w:rFonts w:ascii="Times New Roman" w:cs="Times New Roman" w:eastAsia="Times New Roman" w:hAnsi="Times New Roman"/>
          <w:color w:val="1A1A1A"/>
          <w:sz w:val="24"/>
          <w:szCs w:val="24"/>
        </w:rPr>
        <w:t xml:space="preserve">Запропоновано систему з п’ятнадцяти незалежних індикаторів маніпуляцій, що охоплюють структурні (MCR, SCR, CB, GIC, JCA, ANA, RLA), темпоральні (TA, HTA, CV, SBD), текстові (SSD, CC) та крос-платформні (CPC, PB) аспекти аналізу цитувань. Комплексність набору індикаторів забезпечує покриття всього спектру відомих практик маніпуляцій.</w:t>
      </w:r>
    </w:p>
    <w:p>
      <w:pPr>
        <w:spacing w:after="120" w:line="360"/>
        <w:ind w:firstLine="480"/>
        <w:jc w:val="both"/>
      </w:pPr>
      <w:r>
        <w:rPr>
          <w:rFonts w:ascii="Times New Roman" w:cs="Times New Roman" w:eastAsia="Times New Roman" w:hAnsi="Times New Roman"/>
          <w:color w:val="1A1A1A"/>
          <w:sz w:val="24"/>
          <w:szCs w:val="24"/>
        </w:rPr>
        <w:t xml:space="preserve">Розроблено п’ятирівневу шкалу впевненості із зваженою агрегацією Fraud Score, що замінює бінарну класифікацію контекстуалізованою оцінкою. Алгоритм контекстуальної перевірки із правилом «≥3 незалежних індикаторів» забезпечує принцип «презумпції невинуватості» та знижує ризик хибних звинувачень.</w:t>
      </w:r>
    </w:p>
    <w:p>
      <w:pPr>
        <w:spacing w:after="120" w:line="360"/>
        <w:ind w:firstLine="480"/>
        <w:jc w:val="both"/>
      </w:pPr>
      <w:r>
        <w:rPr>
          <w:rFonts w:ascii="Times New Roman" w:cs="Times New Roman" w:eastAsia="Times New Roman" w:hAnsi="Times New Roman"/>
          <w:color w:val="1A1A1A"/>
          <w:sz w:val="24"/>
          <w:szCs w:val="24"/>
        </w:rPr>
        <w:t xml:space="preserve">Обґрунтовано трирівневу архітектуру зберігання — кеш API, PostgreSQL із pgvector, Neo4j із GDS — що поєднує реляційну та графову парадигми для забезпечення як продуктивності, так і аналітичної глибини. Стратегія інкрементального оновлення та механізм Watch-list забезпечують можливість безперервного моніторингу.</w:t>
      </w:r>
    </w:p>
    <w:p>
      <w:pPr>
        <w:spacing w:after="120" w:line="360"/>
        <w:ind w:firstLine="480"/>
        <w:jc w:val="both"/>
      </w:pPr>
      <w:r>
        <w:rPr>
          <w:rFonts w:ascii="Times New Roman" w:cs="Times New Roman" w:eastAsia="Times New Roman" w:hAnsi="Times New Roman"/>
          <w:color w:val="1A1A1A"/>
          <w:sz w:val="24"/>
          <w:szCs w:val="24"/>
        </w:rPr>
        <w:t xml:space="preserve">Подальші дослідження будуть спрямовані на калібрування порогів та ваг на верифікованій вибірці відомих випадків маніпуляцій, впровадження методів машинного навчання для адаптивного виявлення нових форм маніпуляцій, розширення крос-платформної верифікації та пілотне впровадження у декількох університетах для оцінки ефективності в реальних умовах.</w:t>
      </w:r>
    </w:p>
    <w:p>
      <w:r>
        <w:br w:type="page"/>
      </w:r>
    </w:p>
    <w:p>
      <w:pPr>
        <w:pStyle w:val="Heading1"/>
        <w:spacing w:before="400" w:after="200"/>
      </w:pPr>
      <w:r>
        <w:rPr>
          <w:rFonts w:ascii="Times New Roman" w:cs="Times New Roman" w:eastAsia="Times New Roman" w:hAnsi="Times New Roman"/>
          <w:b/>
          <w:bCs/>
          <w:color w:val="1A1A1A"/>
          <w:sz w:val="26"/>
          <w:szCs w:val="26"/>
        </w:rPr>
        <w:t xml:space="preserve">Список літератури</w:t>
      </w:r>
    </w:p>
    <w:p>
      <w:pPr>
        <w:spacing w:after="100" w:line="360"/>
        <w:jc w:val="both"/>
      </w:pPr>
      <w:r>
        <w:rPr>
          <w:rFonts w:ascii="Times New Roman" w:cs="Times New Roman" w:eastAsia="Times New Roman" w:hAnsi="Times New Roman"/>
          <w:color w:val="1A1A1A"/>
          <w:sz w:val="24"/>
          <w:szCs w:val="24"/>
        </w:rPr>
        <w:t xml:space="preserve">1. Hirsch, J.E. (2005). An index to quantify an individual’s scientific research output. Proceedings of the National Academy of Sciences, 102(46), 16569–16572.</w:t>
      </w:r>
    </w:p>
    <w:p>
      <w:pPr>
        <w:spacing w:after="100" w:line="360"/>
        <w:jc w:val="both"/>
      </w:pPr>
      <w:r>
        <w:rPr>
          <w:rFonts w:ascii="Times New Roman" w:cs="Times New Roman" w:eastAsia="Times New Roman" w:hAnsi="Times New Roman"/>
          <w:color w:val="1A1A1A"/>
          <w:sz w:val="24"/>
          <w:szCs w:val="24"/>
        </w:rPr>
        <w:t xml:space="preserve">2. Strathern, M. (1997). ‘Improving ratings’: audit in the British University system. European Review, 5(3), 305–321.</w:t>
      </w:r>
    </w:p>
    <w:p>
      <w:pPr>
        <w:spacing w:after="100" w:line="360"/>
        <w:jc w:val="both"/>
      </w:pPr>
      <w:r>
        <w:rPr>
          <w:rFonts w:ascii="Times New Roman" w:cs="Times New Roman" w:eastAsia="Times New Roman" w:hAnsi="Times New Roman"/>
          <w:color w:val="1A1A1A"/>
          <w:sz w:val="24"/>
          <w:szCs w:val="24"/>
        </w:rPr>
        <w:t xml:space="preserve">3. Brainard, J., You, J. (2018). What a massive database of retracted papers reveals about science publishing’s ‘death penalty’. Science, 10.1126/science.aav8384.</w:t>
      </w:r>
    </w:p>
    <w:p>
      <w:pPr>
        <w:spacing w:after="100" w:line="360"/>
        <w:jc w:val="both"/>
      </w:pPr>
      <w:r>
        <w:rPr>
          <w:rFonts w:ascii="Times New Roman" w:cs="Times New Roman" w:eastAsia="Times New Roman" w:hAnsi="Times New Roman"/>
          <w:color w:val="1A1A1A"/>
          <w:sz w:val="24"/>
          <w:szCs w:val="24"/>
        </w:rPr>
        <w:t xml:space="preserve">5. Ioannidis, J.P.A., Baas, J., Klavans, R., Boyack, K.W. (2019). A standardized citation metrics author database annotated for scientific field. PLoS Biology, 17(8), e3000384.</w:t>
      </w:r>
    </w:p>
    <w:p>
      <w:pPr>
        <w:spacing w:after="100" w:line="360"/>
        <w:jc w:val="both"/>
      </w:pPr>
      <w:r>
        <w:rPr>
          <w:rFonts w:ascii="Times New Roman" w:cs="Times New Roman" w:eastAsia="Times New Roman" w:hAnsi="Times New Roman"/>
          <w:color w:val="1A1A1A"/>
          <w:sz w:val="24"/>
          <w:szCs w:val="24"/>
        </w:rPr>
        <w:t xml:space="preserve">6. Fister, I., Fister, I., Perc, M. (2016). Toward the discovery of citation cartels in citation networks. Frontiers in Physics, 4, 49.</w:t>
      </w:r>
    </w:p>
    <w:p>
      <w:pPr>
        <w:spacing w:after="100" w:line="360"/>
        <w:jc w:val="both"/>
      </w:pPr>
      <w:r>
        <w:rPr>
          <w:rFonts w:ascii="Times New Roman" w:cs="Times New Roman" w:eastAsia="Times New Roman" w:hAnsi="Times New Roman"/>
          <w:color w:val="1A1A1A"/>
          <w:sz w:val="24"/>
          <w:szCs w:val="24"/>
        </w:rPr>
        <w:t xml:space="preserve">7. Biagioli, M., Lippman, A. (2020). Gaming the Metrics: Misconduct and Manipulation in Academic Research. MIT Press.</w:t>
      </w:r>
    </w:p>
    <w:p>
      <w:pPr>
        <w:spacing w:after="100" w:line="360"/>
        <w:jc w:val="both"/>
      </w:pPr>
      <w:r>
        <w:rPr>
          <w:rFonts w:ascii="Times New Roman" w:cs="Times New Roman" w:eastAsia="Times New Roman" w:hAnsi="Times New Roman"/>
          <w:color w:val="1A1A1A"/>
          <w:sz w:val="24"/>
          <w:szCs w:val="24"/>
        </w:rPr>
        <w:t xml:space="preserve">8. Van Noorden, R., Singh Chawla, D. (2019). Hundreds of extreme self-citing scientists revealed in new database. Nature, 572(7771), 578–579.</w:t>
      </w:r>
    </w:p>
    <w:p>
      <w:pPr>
        <w:spacing w:after="100" w:line="360"/>
        <w:jc w:val="both"/>
      </w:pPr>
      <w:r>
        <w:rPr>
          <w:rFonts w:ascii="Times New Roman" w:cs="Times New Roman" w:eastAsia="Times New Roman" w:hAnsi="Times New Roman"/>
          <w:color w:val="1A1A1A"/>
          <w:sz w:val="24"/>
          <w:szCs w:val="24"/>
        </w:rPr>
        <w:t xml:space="preserve">9. Fowler, J.H., Aksnes, D.W. (2007). Does self-citation pay? Scientometrics, 72(3), 427–437.</w:t>
      </w:r>
    </w:p>
    <w:p>
      <w:pPr>
        <w:spacing w:after="100" w:line="360"/>
        <w:jc w:val="both"/>
      </w:pPr>
      <w:r>
        <w:rPr>
          <w:rFonts w:ascii="Times New Roman" w:cs="Times New Roman" w:eastAsia="Times New Roman" w:hAnsi="Times New Roman"/>
          <w:color w:val="1A1A1A"/>
          <w:sz w:val="24"/>
          <w:szCs w:val="24"/>
        </w:rPr>
        <w:t xml:space="preserve">9. Wilhite, A.W., Fong, E.A. (2012). Coercive citation in academic publishing. Science, 335(6068), 542–543.</w:t>
      </w:r>
    </w:p>
    <w:p>
      <w:pPr>
        <w:spacing w:after="100" w:line="360"/>
        <w:jc w:val="both"/>
      </w:pPr>
      <w:r>
        <w:rPr>
          <w:rFonts w:ascii="Times New Roman" w:cs="Times New Roman" w:eastAsia="Times New Roman" w:hAnsi="Times New Roman"/>
          <w:color w:val="1A1A1A"/>
          <w:sz w:val="24"/>
          <w:szCs w:val="24"/>
        </w:rPr>
        <w:t xml:space="preserve">10. Byrne, J.A., Christopher, J. (2020). Digital magic, or the dark arts of the 21st century — how can journals and peer reviewers detect manuscripts and publications from paper mills? FEBS Letters, 594(4), 583–589.</w:t>
      </w:r>
    </w:p>
    <w:p>
      <w:pPr>
        <w:spacing w:after="100" w:line="360"/>
        <w:jc w:val="both"/>
      </w:pPr>
      <w:r>
        <w:rPr>
          <w:rFonts w:ascii="Times New Roman" w:cs="Times New Roman" w:eastAsia="Times New Roman" w:hAnsi="Times New Roman"/>
          <w:color w:val="1A1A1A"/>
          <w:sz w:val="24"/>
          <w:szCs w:val="24"/>
        </w:rPr>
        <w:t xml:space="preserve">11. Broad, W.J. (1981). The publishing game: getting more for less. Science, 211(4487), 1137–1139.</w:t>
      </w:r>
    </w:p>
    <w:p>
      <w:pPr>
        <w:spacing w:after="100" w:line="360"/>
        <w:jc w:val="both"/>
      </w:pPr>
      <w:r>
        <w:rPr>
          <w:rFonts w:ascii="Times New Roman" w:cs="Times New Roman" w:eastAsia="Times New Roman" w:hAnsi="Times New Roman"/>
          <w:color w:val="1A1A1A"/>
          <w:sz w:val="24"/>
          <w:szCs w:val="24"/>
        </w:rPr>
        <w:t xml:space="preserve">12. Waltman, L. (2016). A review of the literature on citation impact indicators. Journal of Informetrics, 10(2), 365–391.</w:t>
      </w:r>
    </w:p>
    <w:p>
      <w:pPr>
        <w:spacing w:after="100" w:line="360"/>
        <w:jc w:val="both"/>
      </w:pPr>
      <w:r>
        <w:rPr>
          <w:rFonts w:ascii="Times New Roman" w:cs="Times New Roman" w:eastAsia="Times New Roman" w:hAnsi="Times New Roman"/>
          <w:color w:val="1A1A1A"/>
          <w:sz w:val="24"/>
          <w:szCs w:val="24"/>
        </w:rPr>
        <w:t xml:space="preserve">13. Kojaku, S., Masuda, N. (2018). A generalised significance test for individual communities in networks. Scientific Reports, 8(1), 7351.</w:t>
      </w:r>
    </w:p>
    <w:p>
      <w:pPr>
        <w:spacing w:after="100" w:line="360"/>
        <w:jc w:val="both"/>
      </w:pPr>
      <w:r>
        <w:rPr>
          <w:rFonts w:ascii="Times New Roman" w:cs="Times New Roman" w:eastAsia="Times New Roman" w:hAnsi="Times New Roman"/>
          <w:color w:val="1A1A1A"/>
          <w:sz w:val="24"/>
          <w:szCs w:val="24"/>
        </w:rPr>
        <w:t xml:space="preserve">14. Fang, Z., Costas, R., Tian, W., Wang, X., Wouters, P. (2020). An extensive analysis of the presence of altmetric data for Web of Science publications. Scientometrics, 124(2), 2519–2549.</w:t>
      </w:r>
    </w:p>
    <w:p>
      <w:pPr>
        <w:spacing w:after="100" w:line="360"/>
        <w:jc w:val="both"/>
      </w:pPr>
      <w:r>
        <w:rPr>
          <w:rFonts w:ascii="Times New Roman" w:cs="Times New Roman" w:eastAsia="Times New Roman" w:hAnsi="Times New Roman"/>
          <w:color w:val="1A1A1A"/>
          <w:sz w:val="24"/>
          <w:szCs w:val="24"/>
        </w:rPr>
        <w:t xml:space="preserve">15. Price, D.J. de Solla (1965). Networks of scientific papers. Science, 149(3683), 510–515.</w:t>
      </w:r>
    </w:p>
    <w:p>
      <w:pPr>
        <w:spacing w:after="100" w:line="360"/>
        <w:jc w:val="both"/>
      </w:pPr>
      <w:r>
        <w:rPr>
          <w:rFonts w:ascii="Times New Roman" w:cs="Times New Roman" w:eastAsia="Times New Roman" w:hAnsi="Times New Roman"/>
          <w:color w:val="1A1A1A"/>
          <w:sz w:val="24"/>
          <w:szCs w:val="24"/>
        </w:rPr>
        <w:t xml:space="preserve">16. Garfield, E. (1955). Citation indexes for science: a new dimension in documentation through association of ideas. Science, 122(3159), 108–111.</w:t>
      </w:r>
    </w:p>
    <w:p>
      <w:pPr>
        <w:spacing w:after="100" w:line="360"/>
        <w:jc w:val="both"/>
      </w:pPr>
      <w:r>
        <w:rPr>
          <w:rFonts w:ascii="Times New Roman" w:cs="Times New Roman" w:eastAsia="Times New Roman" w:hAnsi="Times New Roman"/>
          <w:color w:val="1A1A1A"/>
          <w:sz w:val="24"/>
          <w:szCs w:val="24"/>
        </w:rPr>
        <w:t xml:space="preserve">17. Bornmann, L., Daniel, H.D. (2009). The state of h index research. EMBO Reports, 10(1), 2–6.</w:t>
      </w:r>
    </w:p>
    <w:p>
      <w:pPr>
        <w:spacing w:after="100" w:line="360"/>
        <w:jc w:val="both"/>
      </w:pPr>
      <w:r>
        <w:rPr>
          <w:rFonts w:ascii="Times New Roman" w:cs="Times New Roman" w:eastAsia="Times New Roman" w:hAnsi="Times New Roman"/>
          <w:color w:val="1A1A1A"/>
          <w:sz w:val="24"/>
          <w:szCs w:val="24"/>
        </w:rPr>
        <w:t xml:space="preserve">18. Bartneck, C., Kokkelmans, S. (2011). Detecting h-index manipulation through self-citation analysis. Scientometrics, 87(1), 85–98.</w:t>
      </w:r>
    </w:p>
    <w:p>
      <w:pPr>
        <w:spacing w:after="100" w:line="360"/>
        <w:jc w:val="both"/>
      </w:pPr>
      <w:r>
        <w:rPr>
          <w:rFonts w:ascii="Times New Roman" w:cs="Times New Roman" w:eastAsia="Times New Roman" w:hAnsi="Times New Roman"/>
          <w:color w:val="1A1A1A"/>
          <w:sz w:val="24"/>
          <w:szCs w:val="24"/>
        </w:rPr>
        <w:t xml:space="preserve">19. Egghe, L. (2006). Theory and practise of the g-index. Scientometrics, 69(1), 131–152.</w:t>
      </w:r>
    </w:p>
    <w:p>
      <w:pPr>
        <w:spacing w:after="100" w:line="360"/>
        <w:jc w:val="both"/>
      </w:pPr>
      <w:r>
        <w:rPr>
          <w:rFonts w:ascii="Times New Roman" w:cs="Times New Roman" w:eastAsia="Times New Roman" w:hAnsi="Times New Roman"/>
          <w:color w:val="1A1A1A"/>
          <w:sz w:val="24"/>
          <w:szCs w:val="24"/>
        </w:rPr>
        <w:t xml:space="preserve">20. Waltman, L., van Eck, N.J. (2012). The inconsistency of the h-index. Journal of the American Society for Information Science and Technology, 63(2), 406–415.</w:t>
      </w:r>
    </w:p>
    <w:p>
      <w:pPr>
        <w:spacing w:after="100" w:line="360"/>
        <w:jc w:val="both"/>
      </w:pPr>
      <w:r>
        <w:rPr>
          <w:rFonts w:ascii="Times New Roman" w:cs="Times New Roman" w:eastAsia="Times New Roman" w:hAnsi="Times New Roman"/>
          <w:color w:val="1A1A1A"/>
          <w:sz w:val="24"/>
          <w:szCs w:val="24"/>
        </w:rPr>
        <w:t xml:space="preserve">21. Hicks, D., Wouters, P., Waltman, L., de Rijcke, S., Rafols, I. (2015). Bibliometrics: the Leiden Manifesto for research metrics. Nature, 520(7548), 429–431.</w:t>
      </w:r>
    </w:p>
    <w:p>
      <w:pPr>
        <w:spacing w:after="100" w:line="360"/>
        <w:jc w:val="both"/>
      </w:pPr>
      <w:r>
        <w:rPr>
          <w:rFonts w:ascii="Times New Roman" w:cs="Times New Roman" w:eastAsia="Times New Roman" w:hAnsi="Times New Roman"/>
          <w:color w:val="1A1A1A"/>
          <w:sz w:val="24"/>
          <w:szCs w:val="24"/>
        </w:rPr>
        <w:t xml:space="preserve">22. DORA (2012). San Francisco Declaration on Research Assessment. https://sfdora.org/.</w:t>
      </w:r>
    </w:p>
    <w:p>
      <w:pPr>
        <w:spacing w:after="100" w:line="360"/>
        <w:jc w:val="both"/>
      </w:pPr>
      <w:r>
        <w:rPr>
          <w:rFonts w:ascii="Times New Roman" w:cs="Times New Roman" w:eastAsia="Times New Roman" w:hAnsi="Times New Roman"/>
          <w:color w:val="1A1A1A"/>
          <w:sz w:val="24"/>
          <w:szCs w:val="24"/>
        </w:rPr>
        <w:t xml:space="preserve">23. Martin, B.R. (2016). Editors’ JIF-boosting stratagems — Which are appropriate and which not? Research Policy, 45(1), 1–17.</w:t>
      </w:r>
    </w:p>
    <w:p>
      <w:pPr>
        <w:spacing w:after="100" w:line="360"/>
        <w:jc w:val="both"/>
      </w:pPr>
      <w:r>
        <w:rPr>
          <w:rFonts w:ascii="Times New Roman" w:cs="Times New Roman" w:eastAsia="Times New Roman" w:hAnsi="Times New Roman"/>
          <w:color w:val="1A1A1A"/>
          <w:sz w:val="24"/>
          <w:szCs w:val="24"/>
        </w:rPr>
        <w:t xml:space="preserve">24. Cabanac, G., Labbé, C. (2021). Prevalence of nonsensical algorithmically generated papers in the scientific literature. Journal of the Association for Information Science and Technology, 72(12), 1461–1476.</w:t>
      </w:r>
    </w:p>
    <w:p>
      <w:pPr>
        <w:spacing w:after="100" w:line="360"/>
        <w:jc w:val="both"/>
      </w:pPr>
      <w:r>
        <w:rPr>
          <w:rFonts w:ascii="Times New Roman" w:cs="Times New Roman" w:eastAsia="Times New Roman" w:hAnsi="Times New Roman"/>
          <w:color w:val="1A1A1A"/>
          <w:sz w:val="24"/>
          <w:szCs w:val="24"/>
        </w:rPr>
        <w:t xml:space="preserve">25. Newman, M.E.J. (2001). The structure of scientific collaboration networks. Proceedings of the National Academy of Sciences, 98(2), 404–409.</w:t>
      </w:r>
    </w:p>
    <w:p>
      <w:pPr>
        <w:spacing w:after="100" w:line="360"/>
        <w:jc w:val="both"/>
      </w:pPr>
      <w:r>
        <w:rPr>
          <w:rFonts w:ascii="Times New Roman" w:cs="Times New Roman" w:eastAsia="Times New Roman" w:hAnsi="Times New Roman"/>
          <w:color w:val="1A1A1A"/>
          <w:sz w:val="24"/>
          <w:szCs w:val="24"/>
        </w:rPr>
        <w:t xml:space="preserve">26. Barabási, A.L., Albert, R. (1999). Emergence of scaling in random networks. Science, 286(5439), 509–512.</w:t>
      </w:r>
    </w:p>
    <w:p>
      <w:pPr>
        <w:spacing w:after="100" w:line="360"/>
        <w:jc w:val="both"/>
      </w:pPr>
      <w:r>
        <w:rPr>
          <w:rFonts w:ascii="Times New Roman" w:cs="Times New Roman" w:eastAsia="Times New Roman" w:hAnsi="Times New Roman"/>
          <w:color w:val="1A1A1A"/>
          <w:sz w:val="24"/>
          <w:szCs w:val="24"/>
        </w:rPr>
        <w:t xml:space="preserve">27. Blondel, V.D., Guillaume, J.L., Lambiotte, R., Lefebvre, E. (2008). Fast unfolding of communities in large networks. Journal of Statistical Mechanics, 2008(10), P10008.</w:t>
      </w:r>
    </w:p>
    <w:p>
      <w:pPr>
        <w:spacing w:after="100" w:line="360"/>
        <w:jc w:val="both"/>
      </w:pPr>
      <w:r>
        <w:rPr>
          <w:rFonts w:ascii="Times New Roman" w:cs="Times New Roman" w:eastAsia="Times New Roman" w:hAnsi="Times New Roman"/>
          <w:color w:val="1A1A1A"/>
          <w:sz w:val="24"/>
          <w:szCs w:val="24"/>
        </w:rPr>
        <w:t xml:space="preserve">28. Brin, S., Page, L. (1998). The anatomy of a large-scale hypertextual Web search engine. Computer Networks and ISDN Systems, 30(1–7), 107–117.</w:t>
      </w:r>
    </w:p>
    <w:p>
      <w:pPr>
        <w:spacing w:after="100" w:line="360"/>
        <w:jc w:val="both"/>
      </w:pPr>
      <w:r>
        <w:rPr>
          <w:rFonts w:ascii="Times New Roman" w:cs="Times New Roman" w:eastAsia="Times New Roman" w:hAnsi="Times New Roman"/>
          <w:color w:val="1A1A1A"/>
          <w:sz w:val="24"/>
          <w:szCs w:val="24"/>
        </w:rPr>
        <w:t xml:space="preserve">29. Ma, N., Guan, J., Zhao, Y. (2008). Bringing PageRank to the citation analysis. Information Processing &amp; Management, 44(2), 800–810.</w:t>
      </w:r>
    </w:p>
    <w:p>
      <w:pPr>
        <w:spacing w:after="100" w:line="360"/>
        <w:jc w:val="both"/>
      </w:pPr>
      <w:r>
        <w:rPr>
          <w:rFonts w:ascii="Times New Roman" w:cs="Times New Roman" w:eastAsia="Times New Roman" w:hAnsi="Times New Roman"/>
          <w:color w:val="1A1A1A"/>
          <w:sz w:val="24"/>
          <w:szCs w:val="24"/>
        </w:rPr>
        <w:t xml:space="preserve">30. Van Raan, A.F.J. (2004). Sleeping Beauties in science. Scientometrics, 59(3), 467–472.</w:t>
      </w:r>
    </w:p>
    <w:p>
      <w:pPr>
        <w:spacing w:after="100" w:line="360"/>
        <w:jc w:val="both"/>
      </w:pPr>
      <w:r>
        <w:rPr>
          <w:rFonts w:ascii="Times New Roman" w:cs="Times New Roman" w:eastAsia="Times New Roman" w:hAnsi="Times New Roman"/>
          <w:color w:val="1A1A1A"/>
          <w:sz w:val="24"/>
          <w:szCs w:val="24"/>
        </w:rPr>
        <w:t xml:space="preserve">31. Ke, Q., Ferrara, E., Radicchi, F., Flammini, A. (2015). Defining and identifying Sleeping Beauties in science. Proceedings of the National Academy of Sciences, 112(24), 7426–7431.</w:t>
      </w:r>
    </w:p>
    <w:p>
      <w:pPr>
        <w:spacing w:after="100" w:line="360"/>
        <w:jc w:val="both"/>
      </w:pPr>
      <w:r>
        <w:rPr>
          <w:rFonts w:ascii="Times New Roman" w:cs="Times New Roman" w:eastAsia="Times New Roman" w:hAnsi="Times New Roman"/>
          <w:color w:val="1A1A1A"/>
          <w:sz w:val="24"/>
          <w:szCs w:val="24"/>
        </w:rPr>
        <w:t xml:space="preserve">32. Parolo, P.D.B., Pan, R.K., Ghosh, R., Huberman, B.A., Kaski, K., Fortunato, S. (2015). Attention decay in science. Journal of Informetrics, 9(4), 734–745.</w:t>
      </w:r>
    </w:p>
    <w:p>
      <w:pPr>
        <w:spacing w:after="100" w:line="360"/>
        <w:jc w:val="both"/>
      </w:pPr>
      <w:r>
        <w:rPr>
          <w:rFonts w:ascii="Times New Roman" w:cs="Times New Roman" w:eastAsia="Times New Roman" w:hAnsi="Times New Roman"/>
          <w:color w:val="1A1A1A"/>
          <w:sz w:val="24"/>
          <w:szCs w:val="24"/>
        </w:rPr>
        <w:t xml:space="preserve">33. Hirsch, J.E. (2007). Does the h index have predictive power? Proceedings of the National Academy of Sciences, 104(49), 19193–19198.</w:t>
      </w:r>
    </w:p>
    <w:p>
      <w:pPr>
        <w:spacing w:after="100" w:line="360"/>
        <w:jc w:val="both"/>
      </w:pPr>
      <w:r>
        <w:rPr>
          <w:rFonts w:ascii="Times New Roman" w:cs="Times New Roman" w:eastAsia="Times New Roman" w:hAnsi="Times New Roman"/>
          <w:color w:val="1A1A1A"/>
          <w:sz w:val="24"/>
          <w:szCs w:val="24"/>
        </w:rPr>
        <w:t xml:space="preserve">34. Liang, L. (2006). h-index sequence and h-index matrix: Constructions and applications. Scientometrics, 69(1), 153–159.</w:t>
      </w:r>
    </w:p>
    <w:p>
      <w:pPr>
        <w:spacing w:after="100" w:line="360"/>
        <w:jc w:val="both"/>
      </w:pPr>
      <w:r>
        <w:rPr>
          <w:rFonts w:ascii="Times New Roman" w:cs="Times New Roman" w:eastAsia="Times New Roman" w:hAnsi="Times New Roman"/>
          <w:color w:val="1A1A1A"/>
          <w:sz w:val="24"/>
          <w:szCs w:val="24"/>
        </w:rPr>
        <w:t xml:space="preserve">35. Gamma, E., Helm, R., Johnson, R., Vlissides, J. (1994). Design Patterns: Elements of Reusable Object-Oriented Software. Addison-Wesley.</w:t>
      </w:r>
    </w:p>
    <w:p>
      <w:pPr>
        <w:spacing w:after="100" w:line="360"/>
        <w:jc w:val="both"/>
      </w:pPr>
      <w:r>
        <w:rPr>
          <w:rFonts w:ascii="Times New Roman" w:cs="Times New Roman" w:eastAsia="Times New Roman" w:hAnsi="Times New Roman"/>
          <w:color w:val="1A1A1A"/>
          <w:sz w:val="24"/>
          <w:szCs w:val="24"/>
        </w:rPr>
        <w:t xml:space="preserve">36. Neo4j, Inc. (2023). Neo4j Graph Data Science Library. https://neo4j.com/docs/graph-data-science/.</w:t>
      </w:r>
    </w:p>
    <w:p>
      <w:pPr>
        <w:spacing w:after="100" w:line="360"/>
        <w:jc w:val="both"/>
      </w:pPr>
      <w:r>
        <w:rPr>
          <w:rFonts w:ascii="Times New Roman" w:cs="Times New Roman" w:eastAsia="Times New Roman" w:hAnsi="Times New Roman"/>
          <w:color w:val="1A1A1A"/>
          <w:sz w:val="24"/>
          <w:szCs w:val="24"/>
        </w:rPr>
        <w:t xml:space="preserve">37. Robinson, I., Webber, J., Eifrem, E. (2015). Graph Databases: New Opportunities for Connected Data, 2nd ed. O’Reilly Media.</w:t>
      </w:r>
    </w:p>
    <w:p>
      <w:pPr>
        <w:spacing w:after="100" w:line="360"/>
        <w:jc w:val="both"/>
      </w:pPr>
      <w:r>
        <w:rPr>
          <w:rFonts w:ascii="Times New Roman" w:cs="Times New Roman" w:eastAsia="Times New Roman" w:hAnsi="Times New Roman"/>
          <w:color w:val="1A1A1A"/>
          <w:sz w:val="24"/>
          <w:szCs w:val="24"/>
        </w:rPr>
        <w:t xml:space="preserve">38. Cronin, B. (2001). Hyperauthorship: A postmodern perversion or evidence of a structural shift in scholarly communication practices? Journal of the American Society for Information Science and Technology, 52(7), 558–569.</w:t>
      </w:r>
    </w:p>
    <w:p>
      <w:pPr>
        <w:spacing w:after="100" w:line="360"/>
        <w:jc w:val="both"/>
      </w:pPr>
      <w:r>
        <w:rPr>
          <w:rFonts w:ascii="Times New Roman" w:cs="Times New Roman" w:eastAsia="Times New Roman" w:hAnsi="Times New Roman"/>
          <w:color w:val="1A1A1A"/>
          <w:sz w:val="24"/>
          <w:szCs w:val="24"/>
        </w:rPr>
        <w:t xml:space="preserve">39. Halevi, G., Moed, H., Bar-Ilan, J. (2017). Suitability of Google Scholar as a source of scientific information and as a source of data for scientific evaluation. Journal of Informetrics, 11(3), 823–834.</w:t>
      </w:r>
    </w:p>
    <w:p>
      <w:pPr>
        <w:spacing w:after="100" w:line="360"/>
        <w:jc w:val="both"/>
      </w:pPr>
      <w:r>
        <w:rPr>
          <w:rFonts w:ascii="Times New Roman" w:cs="Times New Roman" w:eastAsia="Times New Roman" w:hAnsi="Times New Roman"/>
          <w:color w:val="1A1A1A"/>
          <w:sz w:val="24"/>
          <w:szCs w:val="24"/>
        </w:rPr>
        <w:t xml:space="preserve">40. Waltman, L., Calero-Medina, C., Kosten, J., et al. (2012). The Leiden Ranking 2011/2012: Data collection, indicators, and interpretation. Journal of the American Society for Information Science and Technology, 63(12), 2419–2432.</w:t>
      </w:r>
    </w:p>
    <w:p>
      <w:pPr>
        <w:spacing w:after="100" w:line="360"/>
        <w:jc w:val="both"/>
      </w:pPr>
      <w:r>
        <w:rPr>
          <w:rFonts w:ascii="Times New Roman" w:cs="Times New Roman" w:eastAsia="Times New Roman" w:hAnsi="Times New Roman"/>
          <w:color w:val="1A1A1A"/>
          <w:sz w:val="24"/>
          <w:szCs w:val="24"/>
        </w:rPr>
        <w:t xml:space="preserve">41. Merton, R.K. (1968). The Matthew Effect in Science. Science, 159(3810), 56–63.</w:t>
      </w:r>
    </w:p>
    <w:p>
      <w:pPr>
        <w:spacing w:after="100" w:line="360"/>
        <w:jc w:val="both"/>
      </w:pPr>
      <w:r>
        <w:rPr>
          <w:rFonts w:ascii="Times New Roman" w:cs="Times New Roman" w:eastAsia="Times New Roman" w:hAnsi="Times New Roman"/>
          <w:color w:val="1A1A1A"/>
          <w:sz w:val="24"/>
          <w:szCs w:val="24"/>
        </w:rPr>
        <w:t xml:space="preserve">42. Goodhart, C.A.E. (1984). Monetary Theory and Practice: The UK Experience. Macmillan.</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center"/>
    </w:pPr>
    <w:r>
      <w:rPr>
        <w:rFonts w:ascii="Times New Roman" w:cs="Times New Roman" w:eastAsia="Times New Roman" w:hAnsi="Times New Roman"/>
        <w:i/>
        <w:iCs/>
        <w:color w:val="555555"/>
        <w:sz w:val="16"/>
        <w:szCs w:val="16"/>
      </w:rPr>
      <w:t xml:space="preserve">Citation Fraud Detector: багаторівнева система детекції аномальних патернів цитування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1A1A1A"/>
      <w:sz w:val="26"/>
      <w:szCs w:val="26"/>
    </w:rPr>
  </w:style>
  <w:style w:type="paragraph" w:styleId="Heading2">
    <w:name w:val="Heading 2"/>
    <w:basedOn w:val="Normal"/>
    <w:next w:val="Normal"/>
    <w:qFormat/>
    <w:pPr>
      <w:spacing w:before="320" w:after="160"/>
      <w:outlineLvl w:val="1"/>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2026-03-01T16:53:55.942Z</dcterms:created>
  <dcterms:modified xsi:type="dcterms:W3CDTF">2026-03-01T16:53:55.943Z</dcterms:modified>
</cp:coreProperties>
</file>

<file path=docProps/custom.xml><?xml version="1.0" encoding="utf-8"?>
<Properties xmlns="http://schemas.openxmlformats.org/officeDocument/2006/custom-properties" xmlns:vt="http://schemas.openxmlformats.org/officeDocument/2006/docPropsVTypes"/>
</file>