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МИНИСТЕРСТВО НАУКИ И ВЫСШЕГО ОБРАЗОВАНИЯ 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РОССИЙСКОЙ ФЕДЕРАЦИИ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«Московский государственный технический университет имени Н.Э. Баумана</w:t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(национальный исследовательский университет)»</w:t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ВЫПУСКНАЯ КВАЛИФИКАЦИОННАЯ РАБОТА </w:t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 курсу </w:t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«Data Science»</w:t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Слушатель</w:t>
      </w:r>
      <w:r w:rsidDel="00000000" w:rsidR="00000000" w:rsidRPr="00000000">
        <w:rPr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Лапшин Олег Васильевич</w:t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Москва, 2022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</w:t>
      </w:r>
    </w:p>
    <w:tbl>
      <w:tblPr>
        <w:tblStyle w:val="Table1"/>
        <w:tblW w:w="99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80"/>
        <w:gridCol w:w="880"/>
        <w:tblGridChange w:id="0">
          <w:tblGrid>
            <w:gridCol w:w="9080"/>
            <w:gridCol w:w="8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Введение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3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Аналитическая часть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5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 Постановка задачи</w:t>
            </w: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7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1.2 Описание используемых методов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9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1.2.1 Линейная регрессия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B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1.2.2 Гребневая (Ridge) регрессия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D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1.2.3 Метод k-ближайших соседей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1.2.4 Деревья решений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1.2.5 Градиентный бустинг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1.2.6 Нейронная сеть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5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after="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 Разведочный анализ данных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1.3.1 План решения задачи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1.3.2 Препроцессинг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1.3.3 Перекрестная проверка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D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after="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1.3.4 Метрики качества моделей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F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Практическая часть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1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2.1 Разбиение и предобработка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2.1.1 Для прогнозирования модуля упругости при растяжении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2.2 Разработка и обучение моделей для прогнозирования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after="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 Разработка нейронной сети для прогнозирования соотношения матрица-наполнитель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9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2.4. Разработка приложения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2.5. Создание удаленного репозитория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Заключение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Библиографический список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</w:tr>
    </w:tbl>
    <w:p w:rsidR="00000000" w:rsidDel="00000000" w:rsidP="00000000" w:rsidRDefault="00000000" w:rsidRPr="00000000" w14:paraId="00000044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данной работы - Прогнозирование конечных свойств новых материалов (композиционных материалов). </w:t>
      </w:r>
    </w:p>
    <w:p w:rsidR="00000000" w:rsidDel="00000000" w:rsidP="00000000" w:rsidRDefault="00000000" w:rsidRPr="00000000" w14:paraId="00000049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Композиционными называются материалы, в которых имеет место сочетание двух (или более) химически разнородных компонентов (фаз) с четкой границей раздела между ними. Это неоднородные по химическому составу и структуре материалы.  </w:t>
      </w:r>
    </w:p>
    <w:p w:rsidR="00000000" w:rsidDel="00000000" w:rsidP="00000000" w:rsidRDefault="00000000" w:rsidRPr="00000000" w14:paraId="0000004A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композиционных материалов представляет собой матрицу (основной компонент), содержащую в своем объеме или армирующие элементы, часто называемые наполнителем. Матрица и наполнитель разделены границей (поверхностью) раздела.  Наполнитель равномерно распределен в матрице и имеет заданную пространственную ориентацию. </w:t>
      </w:r>
    </w:p>
    <w:p w:rsidR="00000000" w:rsidDel="00000000" w:rsidP="00000000" w:rsidRDefault="00000000" w:rsidRPr="00000000" w14:paraId="0000004B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Композиционные материалы характеризуются совокупностью свойств, не присущих каждому в отдельности взятому компоненту. За счет выбора армирующих элементов, варьирования их объемной доли в матричном материале, а также размеров, формы, ориентации и прочности связи по границе «матрица-наполнитель», свойства композиционных материалов можно регулировать в значительных пределах.  </w:t>
      </w:r>
    </w:p>
    <w:p w:rsidR="00000000" w:rsidDel="00000000" w:rsidP="00000000" w:rsidRDefault="00000000" w:rsidRPr="00000000" w14:paraId="0000004C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 получить композиты с уникальными эксплуатационными свойствами. Этим обусловлено широкое применение композиционных материалов в различных областях техники. Области применения композиционных материалов многочисленны; кроме авиационно-космической, ракетной и других специальных отраслей техники, композиционные материалы могут быть успешно применены в энергетическом турбостроении, в автомобильной промышленности - для деталей двигателей и кузовов автомашин; в машиностроении - для корпусов и деталей машин; в химической промышленности - для автоклавов, цистерн, аппаратов сернокислотного производства, ёмкостей для хранения и перевозки нефтепродуктов и др.</w:t>
      </w:r>
    </w:p>
    <w:p w:rsidR="00000000" w:rsidDel="00000000" w:rsidP="00000000" w:rsidRDefault="00000000" w:rsidRPr="00000000" w14:paraId="0000004D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Учитывая такое широкое распространение и высокую потребность в новых материалах, тема данной работы является очень актуальной. </w:t>
      </w:r>
    </w:p>
    <w:p w:rsidR="00000000" w:rsidDel="00000000" w:rsidP="00000000" w:rsidRDefault="00000000" w:rsidRPr="00000000" w14:paraId="0000004E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Стоимость производства композитного материала высока. Зная характеристики компонентов, невозможно рассчитать свойства композита. Значит для получения заданных свойств требуется большое количество испытаний различных комбинаций. Сократить время и затраты на создание определенного материала могла бы помочь система поддержки производственных решений, построенная на принципах машинного обучения.</w:t>
      </w:r>
    </w:p>
    <w:p w:rsidR="00000000" w:rsidDel="00000000" w:rsidP="00000000" w:rsidRDefault="00000000" w:rsidRPr="00000000" w14:paraId="0000004F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:rsidR="00000000" w:rsidDel="00000000" w:rsidP="00000000" w:rsidRDefault="00000000" w:rsidRPr="00000000" w14:paraId="00000050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Аналитическая часть</w:t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Постановка задачи</w:t>
      </w:r>
    </w:p>
    <w:p w:rsidR="00000000" w:rsidDel="00000000" w:rsidP="00000000" w:rsidRDefault="00000000" w:rsidRPr="00000000" w14:paraId="00000055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 специалистов в заданной предметной области был получен набор данных далее по тексту именуется как датасет, содержащий данные о производственных параметрах и свойствах некоторого композита. Требуется обучить несколько моделей для прогноза модуля упругости при растяжении и прочности при растяжении. При построении моделей необходимо 30% данных оставить на тестирование модели, а на остальных 70% данных производить обучение моделей. Также при построении моделей необходимо провести поиск гиперпараметров модели с помощью поиска по сетке с перекрестной проверкой, количество блоков равно десяти. </w:t>
      </w:r>
    </w:p>
    <w:p w:rsidR="00000000" w:rsidDel="00000000" w:rsidP="00000000" w:rsidRDefault="00000000" w:rsidRPr="00000000" w14:paraId="00000056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Написать нейронную сеть, которая будет рекомендовать соотношение матрица-наполнитель. </w:t>
      </w:r>
    </w:p>
    <w:p w:rsidR="00000000" w:rsidDel="00000000" w:rsidP="00000000" w:rsidRDefault="00000000" w:rsidRPr="00000000" w14:paraId="00000057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же требуется разработать приложение, делающее удобным использование данных моделей специалистом предметной области.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Датасет состоит из двух файлов: X_bp.xlsx и X_nup.xlsx.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X_bp.xlsx имеет размерность (1023, 10) и содержит: десять параметров, индекс и одну тысячу двадцать три строки.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X_nup.xlsx имеет размерность (1040, 3) и содержит: три параметра, индекс и одну тысячу сорок строк.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условиям задания файлы требуют объединения с типом INNER по индексу.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преобразования вышеуказанных файлов в pandas DataFrame  объединения часть семнадцать строк (менее 2%) из файла X_nup.xlsx была отброшена.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Дальнейшие исследования проводим с объединенным датасетом, содержащим тринадцать параметров и одну тысячу двадцать три строки.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признаков объединенного датасета приведено в таблице 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признаки имеют тип float64, то есть вещественный. Пропусков в данных нет. Все признаки, кроме “Угол нашивки”, являются непрерывными, количественными. “Угол нашивки” принимает только два значения и в идеале должен рассматриваться как категориальный признак.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 Описание признаков датасета  </w:t>
      </w:r>
    </w:p>
    <w:tbl>
      <w:tblPr>
        <w:tblStyle w:val="Table2"/>
        <w:tblW w:w="1002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5445"/>
        <w:gridCol w:w="1215"/>
        <w:gridCol w:w="1575"/>
        <w:gridCol w:w="1785"/>
        <w:tblGridChange w:id="0">
          <w:tblGrid>
            <w:gridCol w:w="5445"/>
            <w:gridCol w:w="1215"/>
            <w:gridCol w:w="1575"/>
            <w:gridCol w:w="17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Тип данных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Непустые значения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6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Уникальные значения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7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Соотношение матрица-наполнитель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float64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1023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6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1014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B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Плотность, кг/м3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float64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1023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6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1013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6F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модуль упругости, ГПа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float64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1023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7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1020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3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Количество отвердителя, м.%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float64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1023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7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1005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7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Содержание эпоксидных групп,%_2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float64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1023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7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1004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B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Температура вспышки, С_2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float64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1023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7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1003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7F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Поверхностная плотность, г/м2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8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float64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8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1023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1004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83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Модуль упругости при растяжении, ГПа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8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float64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8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1023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1004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87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Прочность при растяжении, МПа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8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float64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8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1023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1004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8B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Потребление смолы, г/м2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8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float64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8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1023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1003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8F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Угол нашивки, град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9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float64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9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1023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9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93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Шаг нашивки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9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float64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9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1023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9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989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97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Плотность нашивки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9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float64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 w14:paraId="0000009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1023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9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988</w:t>
            </w:r>
          </w:p>
        </w:tc>
      </w:tr>
    </w:tbl>
    <w:p w:rsidR="00000000" w:rsidDel="00000000" w:rsidP="00000000" w:rsidRDefault="00000000" w:rsidRPr="00000000" w14:paraId="0000009B">
      <w:pPr>
        <w:spacing w:after="0" w:before="0" w:line="360" w:lineRule="auto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z w:val="28"/>
          <w:szCs w:val="28"/>
          <w:rtl w:val="0"/>
        </w:rPr>
        <w:t xml:space="preserve">Гистограммы распределения переменных и диаграммы “ящик с усами” приведены на рисунках 1 и 2. По ним видно, что все признаки, кроме “Угол нашивки”, имеют нормальное распределение и принимают неотрицательные значения. “Угол нашивки” принимает значения: 0, 90.</w:t>
      </w:r>
    </w:p>
    <w:p w:rsidR="00000000" w:rsidDel="00000000" w:rsidP="00000000" w:rsidRDefault="00000000" w:rsidRPr="00000000" w14:paraId="0000009D">
      <w:pPr>
        <w:spacing w:after="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ind w:firstLine="0"/>
        <w:jc w:val="both"/>
        <w:rPr/>
      </w:pPr>
      <w:r w:rsidDel="00000000" w:rsidR="00000000" w:rsidRPr="00000000">
        <w:rPr/>
        <w:drawing>
          <wp:inline distB="0" distT="0" distL="114300" distR="114300">
            <wp:extent cx="6429375" cy="3974902"/>
            <wp:effectExtent b="0" l="0" r="0" t="0"/>
            <wp:docPr id="211950038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974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8"/>
          <w:szCs w:val="28"/>
          <w:rtl w:val="0"/>
        </w:rPr>
        <w:t xml:space="preserve">Рисунок 1 Гистограммы распределения переменных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jc w:val="both"/>
        <w:rPr/>
      </w:pPr>
      <w:r w:rsidDel="00000000" w:rsidR="00000000" w:rsidRPr="00000000">
        <w:rPr/>
        <w:drawing>
          <wp:inline distB="0" distT="0" distL="114300" distR="114300">
            <wp:extent cx="6324600" cy="3149124"/>
            <wp:effectExtent b="0" l="0" r="0" t="0"/>
            <wp:docPr id="211950039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149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8"/>
          <w:szCs w:val="28"/>
          <w:rtl w:val="0"/>
        </w:rPr>
        <w:t xml:space="preserve">Рисунок 2 “Ящик с усами”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Отличительной чертой датасета является отсутствие пропусков, что может “сказать” о первоначальной обработке данных и их подготовке. В сырых данных пропуски и значения некорректных типов как правило присутствуют.  </w:t>
      </w:r>
    </w:p>
    <w:p w:rsidR="00000000" w:rsidDel="00000000" w:rsidP="00000000" w:rsidRDefault="00000000" w:rsidRPr="00000000" w14:paraId="000000A5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же нас интересует описательная статистика датасета. Она представлена в таблице 2. Она в численном виде отражает то, что мы видим на гистограммах. </w:t>
      </w:r>
    </w:p>
    <w:p w:rsidR="00000000" w:rsidDel="00000000" w:rsidP="00000000" w:rsidRDefault="00000000" w:rsidRPr="00000000" w14:paraId="000000A6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Попарные графики рассеяния точек приведены на рисунке 3 и 4. </w:t>
      </w:r>
    </w:p>
    <w:p w:rsidR="00000000" w:rsidDel="00000000" w:rsidP="00000000" w:rsidRDefault="00000000" w:rsidRPr="00000000" w14:paraId="000000A7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графикам рассеяния мы видим, что некоторые точки отстоят далеко от общего облака. Так визуально выглядят выбросы - аномальные, некорректные значения данных, выходящие за пределы допустимых значений признака.</w:t>
      </w:r>
    </w:p>
    <w:p w:rsidR="00000000" w:rsidDel="00000000" w:rsidP="00000000" w:rsidRDefault="00000000" w:rsidRPr="00000000" w14:paraId="000000A8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 Описательная статистика признаков датасета</w:t>
      </w:r>
    </w:p>
    <w:p w:rsidR="00000000" w:rsidDel="00000000" w:rsidP="00000000" w:rsidRDefault="00000000" w:rsidRPr="00000000" w14:paraId="000000AA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540"/>
        <w:gridCol w:w="1307"/>
        <w:gridCol w:w="1307"/>
        <w:gridCol w:w="1307"/>
        <w:gridCol w:w="1307"/>
        <w:gridCol w:w="1307"/>
        <w:tblGridChange w:id="0">
          <w:tblGrid>
            <w:gridCol w:w="3540"/>
            <w:gridCol w:w="1307"/>
            <w:gridCol w:w="1307"/>
            <w:gridCol w:w="1307"/>
            <w:gridCol w:w="1307"/>
            <w:gridCol w:w="1307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mean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std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min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max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median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Соотношение матрица-наполнитель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2.9304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3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0.9132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0.3894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5.5917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2.9069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Плотность, кг/м3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1975.73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73.7292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1731.76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2207.77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1977.62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модуль упругости, ГПа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739.923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F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330.231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2.4369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1911.53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739.664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3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Количество отвердителя, м.%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110.570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5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28.2959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6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17.7403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7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198.953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8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110.564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9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Содержание эпоксидных групп,%_2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A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22.2444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2.4063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14.2550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33.0000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22.2307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Температура вспышки, С_2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285.882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1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40.9433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100.000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413.273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4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285.896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Поверхностная плотность, г/м2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482.731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281.314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0.6037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9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1399.54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451.864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B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Модуль упругости при растяжении, ГПа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C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73.3286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3.1190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E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64.0541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82.6821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73.2688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Прочность при растяжении, МПа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2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2466.92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3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485.628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4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1036.85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5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3848.43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6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2459.52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7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Потребление смолы, г/м2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8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218.423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59.7359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A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33.8030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B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414.590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C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219.198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D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Угол нашивки, град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E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44.2522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F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45.0158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0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0.0000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1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90.0000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2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0.0000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3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Шаг нашивки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4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6.8992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5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2.5635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6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0.0000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7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14.4405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8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6.9161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9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Плотность нашивки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A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57.1539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B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12.3510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C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0.0000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D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103.988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E">
            <w:pPr>
              <w:spacing w:after="0" w:before="0" w:line="360" w:lineRule="auto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8"/>
                <w:szCs w:val="28"/>
                <w:rtl w:val="0"/>
              </w:rPr>
              <w:t xml:space="preserve">57.3419</w:t>
            </w:r>
          </w:p>
        </w:tc>
      </w:tr>
    </w:tbl>
    <w:p w:rsidR="00000000" w:rsidDel="00000000" w:rsidP="00000000" w:rsidRDefault="00000000" w:rsidRPr="00000000" w14:paraId="000000FF">
      <w:pPr>
        <w:spacing w:after="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Rule="auto"/>
        <w:ind w:firstLine="0"/>
        <w:jc w:val="both"/>
        <w:rPr/>
      </w:pPr>
      <w:r w:rsidDel="00000000" w:rsidR="00000000" w:rsidRPr="00000000">
        <w:rPr/>
        <w:drawing>
          <wp:inline distB="0" distT="0" distL="114300" distR="114300">
            <wp:extent cx="6351063" cy="6324600"/>
            <wp:effectExtent b="0" l="0" r="0" t="0"/>
            <wp:docPr id="211950039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1063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Попарные графики рассеяния точек</w:t>
      </w:r>
    </w:p>
    <w:p w:rsidR="00000000" w:rsidDel="00000000" w:rsidP="00000000" w:rsidRDefault="00000000" w:rsidRPr="00000000" w14:paraId="0000010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4572000" cy="1504950"/>
            <wp:effectExtent b="0" l="0" r="0" t="0"/>
            <wp:docPr id="211950039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4572000" cy="1504950"/>
            <wp:effectExtent b="0" l="0" r="0" t="0"/>
            <wp:docPr id="211950039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4572000" cy="1504950"/>
            <wp:effectExtent b="0" l="0" r="0" t="0"/>
            <wp:docPr id="211950039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4572000" cy="1504950"/>
            <wp:effectExtent b="0" l="0" r="0" t="0"/>
            <wp:docPr id="211950039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4572000" cy="1504950"/>
            <wp:effectExtent b="0" l="0" r="0" t="0"/>
            <wp:docPr id="211950039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4572000" cy="1504950"/>
            <wp:effectExtent b="0" l="0" r="0" t="0"/>
            <wp:docPr id="211950039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4572000" cy="1504950"/>
            <wp:effectExtent b="0" l="0" r="0" t="0"/>
            <wp:docPr id="211950040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4572000" cy="1504950"/>
            <wp:effectExtent b="0" l="0" r="0" t="0"/>
            <wp:docPr id="211950039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4572000" cy="1504950"/>
            <wp:effectExtent b="0" l="0" r="0" t="0"/>
            <wp:docPr id="211950039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4572000" cy="1504950"/>
            <wp:effectExtent b="0" l="0" r="0" t="0"/>
            <wp:docPr id="211950040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4572000" cy="1504950"/>
            <wp:effectExtent b="0" l="0" r="0" t="0"/>
            <wp:docPr id="211950040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Попарные графики рассеяния точек</w:t>
      </w:r>
    </w:p>
    <w:p w:rsidR="00000000" w:rsidDel="00000000" w:rsidP="00000000" w:rsidRDefault="00000000" w:rsidRPr="00000000" w14:paraId="0000010F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Применив метод межквартильных расстояний для удаления выбросов в параметрах с нормальным распределением, было обнаружено:</w:t>
      </w:r>
    </w:p>
    <w:p w:rsidR="00000000" w:rsidDel="00000000" w:rsidP="00000000" w:rsidRDefault="00000000" w:rsidRPr="00000000" w14:paraId="00000111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"Соотношение матрица-наполнитель" кол-во выбросов = 0.59%</w:t>
      </w:r>
    </w:p>
    <w:p w:rsidR="00000000" w:rsidDel="00000000" w:rsidP="00000000" w:rsidRDefault="00000000" w:rsidRPr="00000000" w14:paraId="00000112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"Плотность, кг/м3" кол-во выбросов = 0.88%</w:t>
      </w:r>
    </w:p>
    <w:p w:rsidR="00000000" w:rsidDel="00000000" w:rsidP="00000000" w:rsidRDefault="00000000" w:rsidRPr="00000000" w14:paraId="00000113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"модуль упругости, ГПа" кол-во выбросов = 0.20%</w:t>
      </w:r>
    </w:p>
    <w:p w:rsidR="00000000" w:rsidDel="00000000" w:rsidP="00000000" w:rsidRDefault="00000000" w:rsidRPr="00000000" w14:paraId="00000114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"Количество отвердителя, м.%" кол-во выбросов = 1.37%</w:t>
      </w:r>
    </w:p>
    <w:p w:rsidR="00000000" w:rsidDel="00000000" w:rsidP="00000000" w:rsidRDefault="00000000" w:rsidRPr="00000000" w14:paraId="00000115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"Содержание эпоксидных групп,%_2" кол-во выбросов = 0.20%</w:t>
      </w:r>
    </w:p>
    <w:p w:rsidR="00000000" w:rsidDel="00000000" w:rsidP="00000000" w:rsidRDefault="00000000" w:rsidRPr="00000000" w14:paraId="00000116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"Температура вспышки, С_2" кол-во выбросов = 0.78%</w:t>
      </w:r>
    </w:p>
    <w:p w:rsidR="00000000" w:rsidDel="00000000" w:rsidP="00000000" w:rsidRDefault="00000000" w:rsidRPr="00000000" w14:paraId="00000117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"Поверхностная плотность, г/м2" кол-во выбросов = 0.20%</w:t>
      </w:r>
    </w:p>
    <w:p w:rsidR="00000000" w:rsidDel="00000000" w:rsidP="00000000" w:rsidRDefault="00000000" w:rsidRPr="00000000" w14:paraId="00000118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"Модуль упругости при растяжении, ГПа" кол-во выбросов = 0.59%</w:t>
      </w:r>
    </w:p>
    <w:p w:rsidR="00000000" w:rsidDel="00000000" w:rsidP="00000000" w:rsidRDefault="00000000" w:rsidRPr="00000000" w14:paraId="00000119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"Прочность при растяжении, МПа" кол-во выбросов = 1.08%</w:t>
      </w:r>
    </w:p>
    <w:p w:rsidR="00000000" w:rsidDel="00000000" w:rsidP="00000000" w:rsidRDefault="00000000" w:rsidRPr="00000000" w14:paraId="0000011A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"Потребление смолы, г/м2" кол-во выбросов = 0.78%</w:t>
      </w:r>
    </w:p>
    <w:p w:rsidR="00000000" w:rsidDel="00000000" w:rsidP="00000000" w:rsidRDefault="00000000" w:rsidRPr="00000000" w14:paraId="0000011B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"Угол нашивки, град" кол-во выбросов = 0.00%</w:t>
      </w:r>
    </w:p>
    <w:p w:rsidR="00000000" w:rsidDel="00000000" w:rsidP="00000000" w:rsidRDefault="00000000" w:rsidRPr="00000000" w14:paraId="0000011C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"Шаг нашивки" кол-во выбросов = 0.39%</w:t>
      </w:r>
    </w:p>
    <w:p w:rsidR="00000000" w:rsidDel="00000000" w:rsidP="00000000" w:rsidRDefault="00000000" w:rsidRPr="00000000" w14:paraId="0000011D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"Плотность нашивки" кол-во выбросов = 2.05%</w:t>
      </w:r>
    </w:p>
    <w:p w:rsidR="00000000" w:rsidDel="00000000" w:rsidP="00000000" w:rsidRDefault="00000000" w:rsidRPr="00000000" w14:paraId="0000011E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удалено 69 выбросов.</w:t>
      </w:r>
    </w:p>
    <w:p w:rsidR="00000000" w:rsidDel="00000000" w:rsidP="00000000" w:rsidRDefault="00000000" w:rsidRPr="00000000" w14:paraId="0000011F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осталось в датасете осталось 954 строк и 13 параметров график распределения отображен на графике 5</w:t>
      </w:r>
    </w:p>
    <w:p w:rsidR="00000000" w:rsidDel="00000000" w:rsidP="00000000" w:rsidRDefault="00000000" w:rsidRPr="00000000" w14:paraId="00000120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Rule="auto"/>
        <w:ind w:firstLine="0"/>
        <w:jc w:val="both"/>
        <w:rPr/>
      </w:pPr>
      <w:r w:rsidDel="00000000" w:rsidR="00000000" w:rsidRPr="00000000">
        <w:rPr/>
        <w:drawing>
          <wp:inline distB="0" distT="0" distL="114300" distR="114300">
            <wp:extent cx="6200775" cy="3082836"/>
            <wp:effectExtent b="0" l="0" r="0" t="0"/>
            <wp:docPr id="211950040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082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График 5 График распределения </w:t>
      </w:r>
    </w:p>
    <w:p w:rsidR="00000000" w:rsidDel="00000000" w:rsidP="00000000" w:rsidRDefault="00000000" w:rsidRPr="00000000" w14:paraId="0000012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условиям задания нашими целевыми переменными являются: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Модуль упругости при растяжении, ГПа;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Прочность при растяжении, МПа;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Соотношение матрица-наполнитель.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 Описание используемых методов </w:t>
      </w:r>
    </w:p>
    <w:p w:rsidR="00000000" w:rsidDel="00000000" w:rsidP="00000000" w:rsidRDefault="00000000" w:rsidRPr="00000000" w14:paraId="0000012B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Предсказание значений вещественной, непрерывной переменной -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понять, как “типичное” значение зависимой переменной изменяется при изменении независимых переменных.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настоящее время разработано много методов регрессионного анализа. Например, простая и множественная линейная регрессия. Эти модели являются параметрическими в том смысле, что функция регрессии определяется конечным числом неизвестных параметров, которые оцениваются на основе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1.2.1 Линейная регрессия </w:t>
      </w:r>
    </w:p>
    <w:p w:rsidR="00000000" w:rsidDel="00000000" w:rsidP="00000000" w:rsidRDefault="00000000" w:rsidRPr="00000000" w14:paraId="0000012E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(1) и строится соответствующая прямая, известная как линия регрессии. </w:t>
      </w:r>
    </w:p>
    <w:p w:rsidR="00000000" w:rsidDel="00000000" w:rsidP="00000000" w:rsidRDefault="00000000" w:rsidRPr="00000000" w14:paraId="0000012F">
      <w:pPr>
        <w:spacing w:after="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y=ax+by=ax+b</w:t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(1)</w:t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31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 </w:t>
      </w:r>
    </w:p>
    <w:p w:rsidR="00000000" w:rsidDel="00000000" w:rsidP="00000000" w:rsidRDefault="00000000" w:rsidRPr="00000000" w14:paraId="00000132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ищется зависимость между несколькими входными и одной выходной переменными, то имеет место множественная линейная регрессия.</w:t>
      </w:r>
    </w:p>
    <w:p w:rsidR="00000000" w:rsidDel="00000000" w:rsidP="00000000" w:rsidRDefault="00000000" w:rsidRPr="00000000" w14:paraId="00000133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Соответствующее уравнение имеет вид (2). </w:t>
      </w:r>
    </w:p>
    <w:p w:rsidR="00000000" w:rsidDel="00000000" w:rsidP="00000000" w:rsidRDefault="00000000" w:rsidRPr="00000000" w14:paraId="0000013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Y=b0+b1∗x1+b2∗x2+⋯+bn∗xn </w:t>
          </w:r>
        </w:sdtContent>
      </w:sdt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(2)</w:t>
      </w:r>
    </w:p>
    <w:p w:rsidR="00000000" w:rsidDel="00000000" w:rsidP="00000000" w:rsidRDefault="00000000" w:rsidRPr="00000000" w14:paraId="0000013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37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n - число входных переменных.  </w:t>
      </w:r>
    </w:p>
    <w:p w:rsidR="00000000" w:rsidDel="00000000" w:rsidP="00000000" w:rsidRDefault="00000000" w:rsidRPr="00000000" w14:paraId="00000138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Линейная регрессия - первый тщательно изученный метод регрессионного анализа. Его главное достоинство - простота. Такую модель можно построить и рассчитать даже без мощных вычислительных средств. Простота является и главным недостатком этого метода. Тем не менее, именно с линейной регрессии целесообразно начать подбор подходящей модели. </w:t>
      </w:r>
    </w:p>
    <w:p w:rsidR="00000000" w:rsidDel="00000000" w:rsidP="00000000" w:rsidRDefault="00000000" w:rsidRPr="00000000" w14:paraId="00000139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языке python линейная регрессия реализована в sklearn.linear_model.LinearRegression.</w:t>
      </w:r>
    </w:p>
    <w:p w:rsidR="00000000" w:rsidDel="00000000" w:rsidP="00000000" w:rsidRDefault="00000000" w:rsidRPr="00000000" w14:paraId="0000013A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1.2.2 Гребневая (Ridge) регрессия </w:t>
      </w:r>
    </w:p>
    <w:p w:rsidR="00000000" w:rsidDel="00000000" w:rsidP="00000000" w:rsidRDefault="00000000" w:rsidRPr="00000000" w14:paraId="0000013C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Ридж-регрессия или гребневая регрессия - это один из методов понижения размерности. Часто его применяют для борьбы с переизбыточностью данных, когда независимые переменные коррелируют друг с другом (т.е. имеет место мультиколлинеарность).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Следствием этого является плохая обусловленность матрицы и неустойчивость оценок коэффициентов регрессии. Оценки, например, могут иметь неправильный знак или значения, которые намного превосходят те, которые приемлемы из физических или практических соображений.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Применение гребневой регрессии нередко оправдывают тем, что это практический приём, с помощью которого при желании можно получить меньшее значение среднего квадрата ошибки.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стоит использовать, если: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сильная обусловленность;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сильно различаются собственные значения или некоторые из них близки к нулю;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матрице есть почти линейно зависимые столбцы.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Эти методы реализованы в sklearn.linear_model.Ridge.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1.2.3 Метод k-ближайших соседей </w:t>
      </w:r>
    </w:p>
    <w:p w:rsidR="00000000" w:rsidDel="00000000" w:rsidP="00000000" w:rsidRDefault="00000000" w:rsidRPr="00000000" w14:paraId="00000147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метод классификации, который адаптирован для регрессии - метод k-ближайших соседей (k Nearest Neighbors). Он относит объекты к классу, которому принадлежит большинство из k его ближайших соседей в многомерном пространстве признаков.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Число k - это количество соседних объектов в пространстве признаков, которые сравниваются с классифицируемым объектом. Иными словами, если k=10, то каждый объект сравнивается с 10-ю соседями. Метод широко применяется в технологиях Data Mining.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обучения алгоритм просто запоминает все векторы признаков и соответствующие им метки классов. При работе с реальными данными, т.е. наблюдениями, метки класса которых неизвестны, вычисляется расстояние между вектором нового наблюдения и ранее запомненными.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выбирается k ближайших к нему векторов, и новый объект относится к классу, которому принадлежит большинство из 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Несмотря на свою относительную алгоритмическую простоту, метод показывает хорошие результаты. Главным его недостатком является высокая вычислительная трудоемкость, которая увеличивается квадратично с ростом числа обучающих примеров.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метод - пример непараметрической регрессии.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 реализован в sklearn.neighbors.KneighborsRegressor.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1.2.4 Деревья решений </w:t>
      </w:r>
    </w:p>
    <w:p w:rsidR="00000000" w:rsidDel="00000000" w:rsidP="00000000" w:rsidRDefault="00000000" w:rsidRPr="00000000" w14:paraId="00000150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Деревья решений (Decision Trees) - еще один непараметрический метод, применяемый и для классификации, и для регрессии. Деревья решений используются в самых разных областях человеческой деятельности и представляют собой иерархические древовидные структуры, состоящие из правил вида «Если ..., то ...».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Решающие правила автоматически генерируются в процессе обучения на обучающем множестве путем обобщения обучающих примеров. Поэтому их называют индуктивными правилами, а сам процесс обучения — индукцией деревьев решений.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Дерево состоит из элементов двух типов: узлов (node) и листьев (leaf).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узлах находятся решающие правила и производится проверка соответствия примеров этому правилу. В результате проверки множество примеров, попавших в узел, разбивается на два подмножества: удовлетворяющие правилу и не удовлетворяющие ему. Затем к каждому подмножеству вновь применяется правило и процедура рекурсивно повторяется пока не будет достигнуто некоторое условие остановки алгоритма. В последнем узле проверка и разбиение не производится и он объявляется листом.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листе содержится не правило, а подмножество объектов, удовлетворяющих всем правилам ветви, которая заканчивается данным листом. 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классификации - это класс, ассоциируемый с узлом, а для регрессии - соответствующий листу интервал целевой переменной.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Rule="auto"/>
        <w:ind w:firstLine="720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формировании правила для разбиения в очередном узле дерева необходимо выбрать атрибут, по которому это будет сделано. Общее правило для классификации можно сформулировать так: выбранный атрибут должен разбить множество наблюдений в узле так, чтобы результирующие подмножества содержали примеры с одинаковыми метками класса, а количество объектов из других классов в каждом из этих множеств было как можно меньше. Для этого были выбраны различные критерии, например, теоретико-информационный и статистический.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регрессии критерием является дисперсия вокруг среднего. Минимизируя дисперсию вокруг среднего, мы ищем признаки, разбивающие выборку таким образом, что значения целевого признака в каждом листе примерно равны.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Огромное преимущество деревьев решений в том, что они легко интерпретируемы, понятны человеку. Они могут использоваться для извлечения правил на естественном языке. Еще преимущества — высокая точность работы, нетребовательность к подготовке данных.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Rule="auto"/>
        <w:ind w:firstLine="720"/>
        <w:jc w:val="both"/>
        <w:rPr/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Недостаток деревьев решений - склонность переобучаться. Переобучение в случае дерева решений - это точное распознавание примеров, участвующих в обучении, и полная несостоятельность на новых данных. В худшем случае, дерево будет большой глубины и сложной структуры, а в каждом листе будет только один объект. Для решения этой проблемы используют разные критерии остановки алгоритма.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Деревья решений реализованы в sklearn.tree.DecisionTreeRegressor.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1.2.5 Градиентный бустинг </w:t>
      </w:r>
    </w:p>
    <w:p w:rsidR="00000000" w:rsidDel="00000000" w:rsidP="00000000" w:rsidRDefault="00000000" w:rsidRPr="00000000" w14:paraId="0000015C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Градиентный бустинг (GradientBoosting) - еще один представитель ансамблевых методов.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отличие от случайного леса, где каждый базовый алгоритм строится независимо от остальных, бустинг воплощает идею последовательного построения линейной комбинации алгоритмов. Каждый следующий алгоритм старается уменьшить ошибку предыдущего.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Rule="auto"/>
        <w:ind w:firstLine="720"/>
        <w:jc w:val="both"/>
        <w:rPr/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построить алгоритм градиентного бустинга, нам необходимо выбрать базовый алгоритм и функцию потерь или ошибки (loss). Loss-функция  – это мера, которая показывает, насколько хорошо предсказание модели соответствуют данным. Используя градиентный спуск и обновляя предсказания, основанные на скорости обучения (learning rate), ищем значения, на которых loss минимальна.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Бустинг, использующий деревья решений в качестве базовых алгоритмов, называется градиентным бустингом над решающими деревьями. Он отлично работает на выборках с “табличными”, неоднородными данными и способен эффективно находить нелинейные зависимости в данных различной природы.  На настоящий момент это один из самых эффективных алгоритмов машинного обучения. Благодаря этому он широко применяется во многих конкурсах и промышленных задачах. Он проигрывает только нейросетям на однородных данных (изображения, звук и т. д.).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недостатков алгоритма можно отметить только затраты времени на вычисления и необходимость грамотного подбора гиперпараметров.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градиентного бустинга возможна из библиотеки sklearn - sklearn.ensemble.GradientBoostingRegressor.</w:t>
      </w:r>
    </w:p>
    <w:p w:rsidR="00000000" w:rsidDel="00000000" w:rsidP="00000000" w:rsidRDefault="00000000" w:rsidRPr="00000000" w14:paraId="00000162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1.2.6 Нейронная сеть </w:t>
      </w:r>
    </w:p>
    <w:p w:rsidR="00000000" w:rsidDel="00000000" w:rsidP="00000000" w:rsidRDefault="00000000" w:rsidRPr="00000000" w14:paraId="00000164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Нейронная сеть - это последовательность нейронов, соединенных между собой связями. Структура нейронной сети пришла в мир программирования из биологии. Вычислительная единица нейронной сети -  нейрон или персептрон.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каждого нейрона есть определённое количество входов, куда поступают сигналы, которые суммируются с учётом значимости (веса) каждого входа.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Смещение - это дополнительный вход для нейрона, который всегда равен 1 и, следовательно, имеет собственный вес соединения.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же у нейрона есть функция активации, которая определяет  выходное значение нейрона. Она используется для того, чтобы ввести нелинейность в нейронную сеть. Примеры активационных функций: relu, sigmoid, softmax и т.п.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полносвязной нейросети выход каждого нейрона подается на вход всем нейронам следующего слоя. У нейросети имеется: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входной слой - его размер соответствует входным параметрам;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скрытые слои - их количество и размерность определяем специалист;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выходной слой - его размер соответствует выходным параметрам.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Прямое распространение - это процесс передачи входных значений в нейронную сеть и получения выходных данных, которые называются прогнозируемым значением.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обновления весов в модели используются различные оптимизаторы.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эпох показывает, сколько раз выполнялся проход для всех примеров обучения.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 Разведочный анализ данных </w:t>
      </w:r>
    </w:p>
    <w:p w:rsidR="00000000" w:rsidDel="00000000" w:rsidP="00000000" w:rsidRDefault="00000000" w:rsidRPr="00000000" w14:paraId="00000173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разведочного анализа данных - выявить закономерности в данных. Для корректной работы большинства моделей желательна сильная зависимость выходных переменных от входных и отсутствие зависимости между входными переменными.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Rule="auto"/>
        <w:ind w:firstLine="720"/>
        <w:jc w:val="both"/>
        <w:rPr/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рисунках 3 и 4 графики попарного рассеяния точек. По форме “облаков точек” невозможно выявить зависимостей, которые станут основой работы моделей. Помочь выявить связь между признаками может матрица корреляции, приведенная на рисунке 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Rule="auto"/>
        <w:ind w:firstLine="0"/>
        <w:jc w:val="both"/>
        <w:rPr/>
      </w:pPr>
      <w:r w:rsidDel="00000000" w:rsidR="00000000" w:rsidRPr="00000000">
        <w:rPr/>
        <w:drawing>
          <wp:inline distB="0" distT="0" distL="114300" distR="114300">
            <wp:extent cx="6331618" cy="4010025"/>
            <wp:effectExtent b="0" l="0" r="0" t="0"/>
            <wp:docPr id="211950040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1618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Тепловая карта корреляции</w:t>
      </w:r>
    </w:p>
    <w:p w:rsidR="00000000" w:rsidDel="00000000" w:rsidP="00000000" w:rsidRDefault="00000000" w:rsidRPr="00000000" w14:paraId="00000179">
      <w:pPr>
        <w:spacing w:after="0" w:lineRule="auto"/>
        <w:ind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Rule="auto"/>
        <w:ind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тепловой карте корреляции можно увидеть, что все коэффициенты корреляции близки к нулю и означает отсутствие линейной зависимости между признаками.</w:t>
      </w:r>
    </w:p>
    <w:p w:rsidR="00000000" w:rsidDel="00000000" w:rsidP="00000000" w:rsidRDefault="00000000" w:rsidRPr="00000000" w14:paraId="0000017C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Незначительными признаками корреляции обладают лишь: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Температура вспышки, С_2 - Количество отвердителя, м.%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Плотность, кг/м3 - Прочность при растяжении, МПа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Плотность, кг/м3 - Угол нашивки, град</w:t>
      </w:r>
    </w:p>
    <w:p w:rsidR="00000000" w:rsidDel="00000000" w:rsidP="00000000" w:rsidRDefault="00000000" w:rsidRPr="00000000" w14:paraId="00000180">
      <w:pPr>
        <w:spacing w:after="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1.3.1 План решения задачи </w:t>
      </w:r>
    </w:p>
    <w:p w:rsidR="00000000" w:rsidDel="00000000" w:rsidP="00000000" w:rsidRDefault="00000000" w:rsidRPr="00000000" w14:paraId="00000182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 решения каждой из задач и построения оптимальной модели будет следующим: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разделить данные на тренировочную и тестовую выборки. В задании указано, что на тестирование оставить 30% данных;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выполнить препроцессинг, то есть подготовку исходных данных;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выбрать базовую модель для определения нижней границы качества предсказания. Использую базовую модель, возвращающую среднее значение целевого признака. Лучшая модель по своим характеристикам должна быть лучше базовой;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взять несколько моделей с гиперпараметрами по умолчанию, и используя перекрестную проверку, посмотреть их метрики на тренировочной выборке;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подобрать для этих моделей гиперпараметры с помощью с помощью поиска по сетке с перекрестной проверкой, количество блоков равно 10;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сравнить метрики моделей после подбора гиперпараметров и выбрать лучшую;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получить предсказания лучшей и базовой моделей на тестовой выборке, сделать выводы;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сравнить качество работы лучшей модели на тренировочной и тестовой выборке.</w:t>
      </w:r>
    </w:p>
    <w:p w:rsidR="00000000" w:rsidDel="00000000" w:rsidP="00000000" w:rsidRDefault="00000000" w:rsidRPr="00000000" w14:paraId="0000018B">
      <w:pPr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1.3.2 Препроцессинг </w:t>
      </w:r>
    </w:p>
    <w:p w:rsidR="00000000" w:rsidDel="00000000" w:rsidP="00000000" w:rsidRDefault="00000000" w:rsidRPr="00000000" w14:paraId="0000018D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препроцессинга, или предварительной обработки данных - обеспечить корректную работу моделей.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Его необходимо выполнять после разделения на тренировочную и тестовую выборку, как будто мы не знаем параметров тестовой выборки (минимум, максимум, матожидание, стандартное отклонение).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Препроцессинг для категориальных и количественных признаков выполняется по-разному.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Категориальный признак один - “Угол нашивки, град”. Он принимает значения 0 и 90. Модели отработают лучше, если мы превратим эти значения в 0 и 1 с помощью LabelEncoder или OrdinalEncoder.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Вещественных количественных признаков у нас большинство. Проблема вещественных признаков в том, что их значения лежат в разных диапазонах, в разных масштабах. Это видно в таблице 2. Необходимо провести одно из двух возможных преобразований: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нормализацию - приведение в диапазон от 0 до 1 с помощью MinMaxScaler;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стандартизацию - приведение к матожиданию 0, стандартному отклонению 1 с помощью StandartScaler.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работе будет использована нормализация и MinMaxScaler. </w:t>
      </w:r>
    </w:p>
    <w:p w:rsidR="00000000" w:rsidDel="00000000" w:rsidP="00000000" w:rsidRDefault="00000000" w:rsidRPr="00000000" w14:paraId="00000195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Выходные переменные останутся не измеными.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1.3.3 Перекрестная проверка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обеспечения статистической устойчивости метрик модели используем перекрестную проверку или кросс-валидацию. Чтобы ее реализовать, выборка разбивается необходимое количество раз на тестовую и валидационную. Модель обучается на тестовой выбоке, затем выполняется расчет метрик качества на валидационной. В качестве результата мы получаем средние метрики качества для всех валидационных выборок. Перекрестную проверку реализует функция cross_validate из sklearn.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1.3.4 Метрики качества моделей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Существует множество различных метрик качества, применимых для регрессии. В этой работе используется: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RMSE (Root Mean Squared Error) или корень из средней квадратичной ошибки принимает значениях в тех же единицах, что и целевая переменная. Метрика использует возведение в квадрат, поэтому хорошо обнаруживает грубые ошибки, но сильно чувствительна к выбросам;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MAE (Mean Absolute Error) - средняя абсолютная ошибка так же принимает значениях в тех же единицах, что и целевая переменная;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MAPE (Mean Absolute Percentage Error) или средняя абсолютная процентная ошибка — безразмерный показатель, представляющий собой взвешенную версию MAE.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Практическая часть </w:t>
      </w:r>
    </w:p>
    <w:p w:rsidR="00000000" w:rsidDel="00000000" w:rsidP="00000000" w:rsidRDefault="00000000" w:rsidRPr="00000000" w14:paraId="000001A2">
      <w:pPr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Разбиение и предобработка данных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2.1.1 Для прогнозирования модуля упругости при растяжении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Признаки датасета были разделены на входные и выходные, а строки - на тренировочное и тестовое множество. Размерности полученных наборов данных показаны на рисунке 7. Описательная статистика входных признаков до и после предобработки показана на рисунке 8. Описательная статистика выходного признака показана на рисунке 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2771775" cy="428625"/>
            <wp:effectExtent b="0" l="0" r="0" t="0"/>
            <wp:docPr id="211950040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Размерности тренировочного и тестового множеств</w:t>
      </w:r>
    </w:p>
    <w:p w:rsidR="00000000" w:rsidDel="00000000" w:rsidP="00000000" w:rsidRDefault="00000000" w:rsidRPr="00000000" w14:paraId="000001A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3933825" cy="3876675"/>
            <wp:effectExtent b="0" l="0" r="0" t="0"/>
            <wp:docPr id="211950040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3143250" cy="3895725"/>
            <wp:effectExtent b="0" l="0" r="0" t="0"/>
            <wp:docPr id="211950040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Описательная статистика входных признаков до и после предобработки для задачи с параметром Модуль упругости при растяжении, ГПа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Аналогичным образом были подготовлены данные для параметров (признаков) “Прочность при растяжении, МПа” и “Соотношение матрица-наполнитель”.</w:t>
      </w:r>
    </w:p>
    <w:p w:rsidR="00000000" w:rsidDel="00000000" w:rsidP="00000000" w:rsidRDefault="00000000" w:rsidRPr="00000000" w14:paraId="000001B2">
      <w:pPr>
        <w:spacing w:after="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 Разработка и обучение моделей для прогнозирования</w:t>
      </w:r>
    </w:p>
    <w:p w:rsidR="00000000" w:rsidDel="00000000" w:rsidP="00000000" w:rsidRDefault="00000000" w:rsidRPr="00000000" w14:paraId="000001B4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подбора лучшей модели для выполнения этой задачи были выбраны следующие модели: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LinearRegression - линейная регрессия;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Ridge - гребневая регрессия;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KneighborsRegressor - метод ближайших соседей;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DecisionTreeRegressor - деревья решений;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GradientBoosting - градиентный бустинг,</w:t>
      </w:r>
    </w:p>
    <w:p w:rsidR="00000000" w:rsidDel="00000000" w:rsidP="00000000" w:rsidRDefault="00000000" w:rsidRPr="00000000" w14:paraId="000001BA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описанные в разделе 1.2.</w:t>
      </w:r>
    </w:p>
    <w:p w:rsidR="00000000" w:rsidDel="00000000" w:rsidP="00000000" w:rsidRDefault="00000000" w:rsidRPr="00000000" w14:paraId="000001BB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Метрики работы выбранных моделей с гиперпараметрами по умолчанию, полученные на тестовом множестве, приведены на рисунках 9 и 10.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 одна из выбранных мной моделей не оказалась подходящей для предоставленных данных.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lineRule="auto"/>
        <w:ind w:left="0" w:firstLine="0"/>
        <w:jc w:val="both"/>
        <w:rPr/>
      </w:pPr>
      <w:r w:rsidDel="00000000" w:rsidR="00000000" w:rsidRPr="00000000">
        <w:rPr/>
        <w:drawing>
          <wp:inline distB="0" distT="0" distL="114300" distR="114300">
            <wp:extent cx="6324600" cy="2160905"/>
            <wp:effectExtent b="0" l="0" r="0" t="0"/>
            <wp:docPr id="211950040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160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lineRule="auto"/>
        <w:ind w:left="0" w:firstLine="0"/>
        <w:jc w:val="both"/>
        <w:rPr/>
      </w:pPr>
      <w:r w:rsidDel="00000000" w:rsidR="00000000" w:rsidRPr="00000000">
        <w:rPr/>
        <w:drawing>
          <wp:inline distB="0" distT="0" distL="114300" distR="114300">
            <wp:extent cx="6337903" cy="2495550"/>
            <wp:effectExtent b="0" l="0" r="0" t="0"/>
            <wp:docPr id="211950038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7903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Метрики работы выбранных моделей</w:t>
      </w:r>
    </w:p>
    <w:p w:rsidR="00000000" w:rsidDel="00000000" w:rsidP="00000000" w:rsidRDefault="00000000" w:rsidRPr="00000000" w14:paraId="000001C1">
      <w:pPr>
        <w:spacing w:after="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4267200" cy="2733675"/>
            <wp:effectExtent b="0" l="0" r="0" t="0"/>
            <wp:docPr id="211950038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3571875" cy="723900"/>
            <wp:effectExtent b="0" l="0" r="0" t="0"/>
            <wp:docPr id="211950038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3467100" cy="781050"/>
            <wp:effectExtent b="0" l="0" r="0" t="0"/>
            <wp:docPr id="211950038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3095625" cy="723900"/>
            <wp:effectExtent b="0" l="0" r="0" t="0"/>
            <wp:docPr id="211950038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Метрики работы выбранных моделей</w:t>
      </w:r>
    </w:p>
    <w:p w:rsidR="00000000" w:rsidDel="00000000" w:rsidP="00000000" w:rsidRDefault="00000000" w:rsidRPr="00000000" w14:paraId="000001CA">
      <w:pPr>
        <w:spacing w:after="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 Разработка нейронной сети для прогнозирования соотношения матрица-наполнитель </w:t>
      </w:r>
    </w:p>
    <w:p w:rsidR="00000000" w:rsidDel="00000000" w:rsidP="00000000" w:rsidRDefault="00000000" w:rsidRPr="00000000" w14:paraId="000001CC">
      <w:pPr>
        <w:spacing w:after="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задании для соотношения матрица-наполнитель необходимо построить нейросеть. </w:t>
      </w:r>
    </w:p>
    <w:p w:rsidR="00000000" w:rsidDel="00000000" w:rsidP="00000000" w:rsidRDefault="00000000" w:rsidRPr="00000000" w14:paraId="000001CD">
      <w:pPr>
        <w:spacing w:after="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Строю нейронную сеть с помощью класса keras.Sequential со следующими параметрами: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входной слой: 12;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выходной слой: 1;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скрытых слоев: 6;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нейронов на каждом скрытом слое 64;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активационная функция скрытых слоев: relu;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оптимизатор: Adam;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loss-функция: MeanAbsolutePercentageError,</w:t>
      </w:r>
    </w:p>
    <w:p w:rsidR="00000000" w:rsidDel="00000000" w:rsidP="00000000" w:rsidRDefault="00000000" w:rsidRPr="00000000" w14:paraId="000001D5">
      <w:pPr>
        <w:spacing w:after="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архитектурой, отображенной на рисунке 11: </w:t>
      </w:r>
    </w:p>
    <w:p w:rsidR="00000000" w:rsidDel="00000000" w:rsidP="00000000" w:rsidRDefault="00000000" w:rsidRPr="00000000" w14:paraId="000001D6">
      <w:pPr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608076" cy="5543550"/>
            <wp:effectExtent b="0" l="0" r="0" t="0"/>
            <wp:docPr id="211950038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8076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Архитектура нейронной сети</w:t>
      </w:r>
    </w:p>
    <w:p w:rsidR="00000000" w:rsidDel="00000000" w:rsidP="00000000" w:rsidRDefault="00000000" w:rsidRPr="00000000" w14:paraId="000001D9">
      <w:pPr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Rule="auto"/>
        <w:ind w:left="0" w:firstLine="0"/>
        <w:jc w:val="both"/>
        <w:rPr/>
      </w:pPr>
      <w:r w:rsidDel="00000000" w:rsidR="00000000" w:rsidRPr="00000000">
        <w:rPr/>
        <w:drawing>
          <wp:inline distB="0" distT="0" distL="114300" distR="114300">
            <wp:extent cx="6286500" cy="2213372"/>
            <wp:effectExtent b="0" l="0" r="0" t="0"/>
            <wp:docPr id="211950038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13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lineRule="auto"/>
        <w:ind w:left="0" w:firstLine="0"/>
        <w:jc w:val="both"/>
        <w:rPr/>
      </w:pPr>
      <w:r w:rsidDel="00000000" w:rsidR="00000000" w:rsidRPr="00000000">
        <w:rPr/>
        <w:drawing>
          <wp:inline distB="0" distT="0" distL="114300" distR="114300">
            <wp:extent cx="6286500" cy="1885950"/>
            <wp:effectExtent b="0" l="0" r="0" t="0"/>
            <wp:docPr id="211950038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before="0" w:line="259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Работа нейронной сети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Визуализация результатов показывает, что нейросеть из библиотеки tensorflow старалась подстроиться к данным.</w:t>
      </w:r>
    </w:p>
    <w:p w:rsidR="00000000" w:rsidDel="00000000" w:rsidP="00000000" w:rsidRDefault="00000000" w:rsidRPr="00000000" w14:paraId="000001E0">
      <w:pPr>
        <w:spacing w:after="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борьбы с переобучением были добавлены Dropout-слои с параметром 0.2. </w:t>
      </w:r>
    </w:p>
    <w:p w:rsidR="00000000" w:rsidDel="00000000" w:rsidP="00000000" w:rsidRDefault="00000000" w:rsidRPr="00000000" w14:paraId="000001E1">
      <w:pPr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2.4. Разработка приложения </w:t>
      </w:r>
    </w:p>
    <w:p w:rsidR="00000000" w:rsidDel="00000000" w:rsidP="00000000" w:rsidRDefault="00000000" w:rsidRPr="00000000" w14:paraId="000001E4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Несмотря на то, что пригодных к внедрению моделей получить не удалось, можно разработать функционал приложения. Возможно, дальнейшие исследования позволят построить качественную модель и внедрить ее в готовое приложение.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Rule="auto"/>
        <w:ind w:left="0" w:firstLine="72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приложении необходимо реализовать следующие функции: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 целевой переменной для предсказания;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ввод входных параметров;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введенных параметров;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сохраненной модели, получение и отображение прогноза выходных параметров.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lineRule="auto"/>
        <w:ind w:left="0" w:firstLine="72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Веб-приложение реализовано с помощью языка Python и фреймворка Flask.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Rule="auto"/>
        <w:ind w:left="0" w:firstLine="72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Скриншоты разработанного веб-приложения приведены в приложении 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0" w:lineRule="auto"/>
        <w:ind w:left="0" w:firstLine="72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2.5. Создание удаленного репозитория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lineRule="auto"/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данного исследования был создан удаленный репозиторий на GitHub, который находится по адресу https://github.com/olelap/FQW-DS-BMSTU-2022. На него были загружены результаты работы: исследовательский notebook, код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1F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данной работы я постарался пройти практически весь Dataflow pipeline, рассмотрели большую часть операций и задач, которые приходится выполнять специалисту по работе с данными.  </w:t>
      </w:r>
    </w:p>
    <w:p w:rsidR="00000000" w:rsidDel="00000000" w:rsidP="00000000" w:rsidRDefault="00000000" w:rsidRPr="00000000" w14:paraId="000001F6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поток операций и задач включает: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изучение теоретических методов анализа данных и машинного обучения;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изучение основ предметной области, в которой решается задача;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извлечение и транформацию данных (был предоставлен готовый набор данных);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проведение разведочного анализа данных статистическими методами;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DataMining - извлечение признаков из датасета и их анализ;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разделение имеющихся, в нашем случае размеченных, данных на обучающую и тестовую выборки;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выполнение предобработки (препроцессинга) данных для обеспечения корректной работы моделей;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построение аналитического решения. Это включает выбор алгоритма решения и модели, сравнение различных моделей, подбор гиперпараметров модели;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визуализация модели и оценка качества аналитического решения;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сохранение моделей;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и тестирование приложения для поддержки принятия решений специалистом предметной области, которое использовало бы найденную модель.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Внедрение решения и приложения в эксплуатацию пока затронуты не были.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Дальнейшие возможные пути решения этой задачи могли бы быть: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углубиться в изучение нейросетей, попробовать различные архитектуры, параметры обучения и т.д.;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отбор признаков разными методами. Испробовать методы уменьшения размерности, например метод главных компонент;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уменьшения размерности градиентный бустинг может улучшить свои результаты. Также есть большой простор для подбора гиперпараметров для этого метода;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проконсультироваться у экспертов в предметной области. Возможно, они могли бы поделиться знаниями, необходимыми для решения задачи.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Библиографический список</w:t>
      </w:r>
    </w:p>
    <w:p w:rsidR="00000000" w:rsidDel="00000000" w:rsidP="00000000" w:rsidRDefault="00000000" w:rsidRPr="00000000" w14:paraId="0000020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Композиционные материалы: учебное пособие для вузов / Д. А. Иванов, А. И. Ситников, С. Д. Шляпин ; под редакцией А. А. Ильина. — Москва : Издательство Юрайт, 2019 — 253 с. — (Высшее образование). — Текст : непосредственный. </w:t>
      </w:r>
    </w:p>
    <w:p w:rsidR="00000000" w:rsidDel="00000000" w:rsidP="00000000" w:rsidRDefault="00000000" w:rsidRPr="00000000" w14:paraId="0000020E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Силен Дэви, Мейсман Арно, Али Мохамед. Основы Data Science и Big Data. Python и наука о данных. – СПб.: Питер, 2017. – 336 с.: ил.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ГрасД. Data Science. Наука о данных с нуля: Пер. с англ. - 2-е изд., перераб. и доп. - СПб.: БХВ-Петербурr, 2021. - 416 с.: ил.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Документация по языку программирования python: – Режим доступа:  https://docs.python.org/3.8/index.html.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 Документация по библиотеке numpy: – Режим доступа: https://numpy.org/doc/1.22/user/index.html#user.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 Документация по библиотеке pandas: – Режим доступа: https://pandas.pydata.org/docs/user_guide/index.html#user-guide.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 Документация по библиотеке matplotlib: – Режим доступа: https://matplotlib.org/stable/users/index.html.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 Документация по библиотеке seaborn: – Режим доступа: https://seaborn.pydata.org/tutorial.html.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 Документация по библиотеке sklearn: – Режим доступа: https://scikit-learn.org/stable/user_guide.html.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 Документация по библиотеке keras: – Режим доступа: https://keras.io/api/.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 Руководство по быстрому старту в flask: – Режим доступа: https://flask-russian-docs.readthedocs.io/ru/latest/quickstart.html.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 Loginom Вики. Алгоритмы: – Режим доступа: https://wiki.loginom.ru/algorithms.html.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 Andre Ye. 5 алгоритмов регрессии в машинном обучении, о которых вам следует знать: – Режим доступа:https://habr.com/ru/company/vk/blog/513842/.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 Alex Maszański. Метод k-ближайших соседей (k-nearest neighbour): – Режим доступа: https://proglib.io/p/metod-k-blizhayshih-sosedey-k-nearest-neighbour-2021-07-19.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 Yury Kashnitsky. Открытый курс машинного обучения. Тема 3. Классификация, деревья решений и метод ближайших соседей: – Режим доступа: https://habr.com/ru/company/ods/blog/322534/.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 Yury Kashnitsky. Открытый курс машинного обучения. Тема 5. Композиции: бэггинг, случайный лес: – Режим доступа: https://habr.com/ru/company/ods/blog/324402/.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17 Alex Maszański. Машинное обучение для начинающих: алгоритм случайного леса (Random Forest): – Режим доступа: https://proglib.io/p/mashinnoe-obuchenie-dlya-nachinayushchih-algoritm-sluchaynogo-lesa-random-forest-2021-08-12.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18 Alex Maszański. Решаем задачи машинного обучения с помощью алгоритма градиентного бустинга: – Режим доступа: https://proglib.io/p/reshaem-zadachi-mashinnogo-obucheniya-s-pomoshchyu-algoritma-gradientnogo-bustinga-2021-11-25.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А</w:t>
      </w:r>
    </w:p>
    <w:p w:rsidR="00000000" w:rsidDel="00000000" w:rsidP="00000000" w:rsidRDefault="00000000" w:rsidRPr="00000000" w14:paraId="0000022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Скриншоты веб-приложения, иллюстрирующие его работу, приведены на рисунках.</w:t>
      </w:r>
    </w:p>
    <w:p w:rsidR="00000000" w:rsidDel="00000000" w:rsidP="00000000" w:rsidRDefault="00000000" w:rsidRPr="00000000" w14:paraId="00000224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Реализована функция выбора целевой переменной для предсказания соотношение матрица-наполнитель.</w:t>
      </w:r>
    </w:p>
    <w:p w:rsidR="00000000" w:rsidDel="00000000" w:rsidP="00000000" w:rsidRDefault="00000000" w:rsidRPr="00000000" w14:paraId="00000225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проверке введенных параметров значения не могут быть пустыми, должны быть вещественными, не могут содержать некорректных символов и должны соответствовать допустимому диапазону.</w:t>
      </w:r>
    </w:p>
    <w:p w:rsidR="00000000" w:rsidDel="00000000" w:rsidP="00000000" w:rsidRDefault="00000000" w:rsidRPr="00000000" w14:paraId="00000226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48400" cy="1968500"/>
            <wp:effectExtent b="0" l="0" r="0" t="0"/>
            <wp:docPr id="211950038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35700" cy="2552700"/>
            <wp:effectExtent b="0" l="0" r="0" t="0"/>
            <wp:docPr id="211950037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7" w:type="first"/>
      <w:footerReference r:id="rId38" w:type="default"/>
      <w:footerReference r:id="rId39" w:type="first"/>
      <w:pgSz w:h="15840" w:w="12240" w:orient="portrait"/>
      <w:pgMar w:bottom="850" w:top="1134" w:left="1701" w:right="567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ungsuh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0" w:before="40" w:lineRule="auto"/>
    </w:pPr>
    <w:rPr>
      <w:rFonts w:ascii="Calibri" w:cs="Calibri" w:eastAsia="Calibri" w:hAnsi="Calibri"/>
      <w:color w:val="1f37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spacing w:after="0"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spacing w:after="0" w:before="40" w:lineRule="auto"/>
    </w:pPr>
    <w:rPr>
      <w:rFonts w:ascii="Calibri" w:cs="Calibri" w:eastAsia="Calibri" w:hAnsi="Calibri"/>
      <w:color w:val="1f3763"/>
    </w:rPr>
  </w:style>
  <w:style w:type="paragraph" w:styleId="Title">
    <w:name w:val="Title"/>
    <w:basedOn w:val="Normal"/>
    <w:next w:val="Normal"/>
    <w:pPr>
      <w:spacing w:after="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uiPriority w:val="0"/>
    <w:qFormat w:val="1"/>
    <w:rsid w:val="597172FF"/>
    <w:rPr>
      <w:noProof w:val="0"/>
      <w:lang w:val="ru-RU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597172FF"/>
    <w:pPr>
      <w:keepNext w:val="1"/>
      <w:spacing w:after="0" w:before="240"/>
      <w:outlineLvl w:val="0"/>
    </w:pPr>
    <w:rPr>
      <w:rFonts w:ascii="Calibri Light" w:cs="" w:eastAsia="" w:hAnsi="Calibri Light" w:asciiTheme="majorAscii" w:cstheme="majorBidi" w:eastAsiaTheme="majorEastAsia" w:hAnsiTheme="majorAsci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597172FF"/>
    <w:pPr>
      <w:keepNext w:val="1"/>
      <w:spacing w:after="0" w:before="40"/>
      <w:outlineLvl w:val="1"/>
    </w:pPr>
    <w:rPr>
      <w:rFonts w:ascii="Calibri Light" w:cs="" w:eastAsia="" w:hAnsi="Calibri Light" w:asciiTheme="majorAscii" w:cstheme="majorBidi" w:eastAsiaTheme="majorEastAsia" w:hAnsiTheme="majorAsci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597172FF"/>
    <w:pPr>
      <w:keepNext w:val="1"/>
      <w:spacing w:after="0" w:before="40"/>
      <w:outlineLvl w:val="2"/>
    </w:pPr>
    <w:rPr>
      <w:rFonts w:ascii="Calibri Light" w:cs="" w:eastAsia="" w:hAnsi="Calibri Light" w:asciiTheme="majorAscii" w:cstheme="majorBidi" w:eastAsiaTheme="majorEastAsia" w:hAnsiTheme="majorAsci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597172FF"/>
    <w:pPr>
      <w:keepNext w:val="1"/>
      <w:spacing w:after="0" w:before="40"/>
      <w:outlineLvl w:val="3"/>
    </w:pPr>
    <w:rPr>
      <w:rFonts w:ascii="Calibri Light" w:cs="" w:eastAsia="" w:hAnsi="Calibri Light" w:asciiTheme="majorAscii" w:cstheme="majorBidi" w:eastAsiaTheme="majorEastAsia" w:hAnsiTheme="majorAsci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unhideWhenUsed w:val="1"/>
    <w:qFormat w:val="1"/>
    <w:rsid w:val="597172FF"/>
    <w:pPr>
      <w:keepNext w:val="1"/>
      <w:spacing w:after="0" w:before="40"/>
      <w:outlineLvl w:val="4"/>
    </w:pPr>
    <w:rPr>
      <w:rFonts w:ascii="Calibri Light" w:cs="" w:eastAsia="" w:hAnsi="Calibri Light" w:asciiTheme="majorAscii" w:cstheme="majorBidi" w:eastAsiaTheme="majorEastAsia" w:hAnsiTheme="majorAscii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unhideWhenUsed w:val="1"/>
    <w:qFormat w:val="1"/>
    <w:rsid w:val="597172FF"/>
    <w:pPr>
      <w:keepNext w:val="1"/>
      <w:spacing w:after="0" w:before="40"/>
      <w:outlineLvl w:val="5"/>
    </w:pPr>
    <w:rPr>
      <w:rFonts w:ascii="Calibri Light" w:cs="" w:eastAsia="" w:hAnsi="Calibri Light" w:asciiTheme="majorAscii" w:cstheme="majorBidi" w:eastAsiaTheme="majorEastAsia" w:hAnsiTheme="majorAsci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 w:val="1"/>
    <w:qFormat w:val="1"/>
    <w:rsid w:val="597172FF"/>
    <w:pPr>
      <w:keepNext w:val="1"/>
      <w:spacing w:after="0" w:before="40"/>
      <w:outlineLvl w:val="6"/>
    </w:pPr>
    <w:rPr>
      <w:rFonts w:ascii="Calibri Light" w:cs="" w:eastAsia="" w:hAnsi="Calibri Light" w:asciiTheme="majorAscii" w:cstheme="majorBidi" w:eastAsiaTheme="majorEastAsia" w:hAnsiTheme="majorAscii"/>
      <w:i w:val="1"/>
      <w:iCs w:val="1"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 w:val="1"/>
    <w:qFormat w:val="1"/>
    <w:rsid w:val="597172FF"/>
    <w:pPr>
      <w:keepNext w:val="1"/>
      <w:spacing w:after="0" w:before="40"/>
      <w:outlineLvl w:val="7"/>
    </w:pPr>
    <w:rPr>
      <w:rFonts w:ascii="Calibri Light" w:cs="" w:eastAsia="" w:hAnsi="Calibri Light" w:asciiTheme="majorAscii" w:cstheme="majorBidi" w:eastAsiaTheme="majorEastAsia" w:hAnsiTheme="majorAsci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 w:val="1"/>
    <w:qFormat w:val="1"/>
    <w:rsid w:val="597172FF"/>
    <w:pPr>
      <w:keepNext w:val="1"/>
      <w:spacing w:after="0" w:before="40"/>
      <w:outlineLvl w:val="8"/>
    </w:pPr>
    <w:rPr>
      <w:rFonts w:ascii="Calibri Light" w:cs="" w:eastAsia="" w:hAnsi="Calibri Light" w:asciiTheme="majorAscii" w:cstheme="majorBidi" w:eastAsiaTheme="majorEastAsia" w:hAnsiTheme="majorAscii"/>
      <w:i w:val="1"/>
      <w:iCs w:val="1"/>
      <w:color w:val="272727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 w:val="1"/>
    <w:rsid w:val="597172FF"/>
    <w:pPr>
      <w:spacing w:after="0"/>
      <w:contextualSpacing w:val="1"/>
    </w:pPr>
    <w:rPr>
      <w:rFonts w:ascii="Calibri Light" w:cs="" w:eastAsia="" w:hAnsi="Calibri Light" w:asciiTheme="majorAscii" w:cstheme="majorBidi" w:eastAsiaTheme="majorEastAsia" w:hAnsiTheme="majorAsci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597172FF"/>
    <w:rPr>
      <w:rFonts w:ascii="Calibri" w:cs="" w:eastAsia="" w:hAnsi="Calibri" w:asciiTheme="minorAscii" w:cstheme="minorBidi" w:eastAsiaTheme="minorEastAsia" w:hAnsiTheme="minorAscii"/>
      <w:color w:val="5a5a5a"/>
    </w:rPr>
  </w:style>
  <w:style w:type="paragraph" w:styleId="Quote">
    <w:name w:val="Quote"/>
    <w:basedOn w:val="Normal"/>
    <w:next w:val="Normal"/>
    <w:link w:val="QuoteChar"/>
    <w:uiPriority w:val="29"/>
    <w:qFormat w:val="1"/>
    <w:rsid w:val="597172FF"/>
    <w:pPr>
      <w:spacing w:before="200"/>
      <w:ind w:left="864" w:right="864"/>
      <w:jc w:val="center"/>
    </w:pPr>
    <w:rPr>
      <w:i w:val="1"/>
      <w:iCs w:val="1"/>
      <w:color w:val="404040" w:themeColor="text1" w:themeTint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597172FF"/>
    <w:pPr>
      <w:spacing w:after="360" w:before="360"/>
      <w:ind w:left="864" w:right="864"/>
      <w:jc w:val="center"/>
    </w:pPr>
    <w:rPr>
      <w:i w:val="1"/>
      <w:iCs w:val="1"/>
      <w:color w:val="4472c4" w:themeColor="accent1"/>
    </w:rPr>
  </w:style>
  <w:style w:type="paragraph" w:styleId="ListParagraph">
    <w:name w:val="List Paragraph"/>
    <w:basedOn w:val="Normal"/>
    <w:uiPriority w:val="34"/>
    <w:qFormat w:val="1"/>
    <w:rsid w:val="597172FF"/>
    <w:pPr>
      <w:spacing/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597172FF"/>
    <w:rPr>
      <w:rFonts w:ascii="Calibri Light" w:cs="" w:eastAsia="" w:hAnsi="Calibri Light" w:asciiTheme="majorAscii" w:cstheme="majorBidi" w:eastAsiaTheme="majorEastAsia" w:hAnsiTheme="majorAscii"/>
      <w:noProof w:val="0"/>
      <w:color w:val="2f5496" w:themeColor="accent1" w:themeShade="0000BF"/>
      <w:sz w:val="32"/>
      <w:szCs w:val="32"/>
      <w:lang w:val="ru-RU"/>
    </w:rPr>
  </w:style>
  <w:style w:type="character" w:styleId="Heading2Char" w:customStyle="1">
    <w:name w:val="Heading 2 Char"/>
    <w:basedOn w:val="DefaultParagraphFont"/>
    <w:link w:val="Heading2"/>
    <w:uiPriority w:val="9"/>
    <w:rsid w:val="597172FF"/>
    <w:rPr>
      <w:rFonts w:ascii="Calibri Light" w:cs="" w:eastAsia="" w:hAnsi="Calibri Light" w:asciiTheme="majorAscii" w:cstheme="majorBidi" w:eastAsiaTheme="majorEastAsia" w:hAnsiTheme="majorAscii"/>
      <w:noProof w:val="0"/>
      <w:color w:val="2f5496" w:themeColor="accent1" w:themeShade="0000BF"/>
      <w:sz w:val="26"/>
      <w:szCs w:val="26"/>
      <w:lang w:val="ru-RU"/>
    </w:rPr>
  </w:style>
  <w:style w:type="character" w:styleId="Heading3Char" w:customStyle="1">
    <w:name w:val="Heading 3 Char"/>
    <w:basedOn w:val="DefaultParagraphFont"/>
    <w:link w:val="Heading3"/>
    <w:uiPriority w:val="9"/>
    <w:rsid w:val="597172FF"/>
    <w:rPr>
      <w:rFonts w:ascii="Calibri Light" w:cs="" w:eastAsia="" w:hAnsi="Calibri Light" w:asciiTheme="majorAscii" w:cstheme="majorBidi" w:eastAsiaTheme="majorEastAsia" w:hAnsiTheme="majorAscii"/>
      <w:noProof w:val="0"/>
      <w:color w:val="1f3763"/>
      <w:sz w:val="24"/>
      <w:szCs w:val="24"/>
      <w:lang w:val="ru-RU"/>
    </w:rPr>
  </w:style>
  <w:style w:type="character" w:styleId="Heading4Char" w:customStyle="1">
    <w:name w:val="Heading 4 Char"/>
    <w:basedOn w:val="DefaultParagraphFont"/>
    <w:link w:val="Heading4"/>
    <w:uiPriority w:val="9"/>
    <w:rsid w:val="597172FF"/>
    <w:rPr>
      <w:rFonts w:ascii="Calibri Light" w:cs="" w:eastAsia="" w:hAnsi="Calibri Light" w:asciiTheme="majorAscii" w:cstheme="majorBidi" w:eastAsiaTheme="majorEastAsia" w:hAnsiTheme="majorAscii"/>
      <w:i w:val="1"/>
      <w:iCs w:val="1"/>
      <w:noProof w:val="0"/>
      <w:color w:val="2f5496" w:themeColor="accent1" w:themeShade="0000BF"/>
      <w:lang w:val="ru-RU"/>
    </w:rPr>
  </w:style>
  <w:style w:type="character" w:styleId="Heading5Char" w:customStyle="1">
    <w:name w:val="Heading 5 Char"/>
    <w:basedOn w:val="DefaultParagraphFont"/>
    <w:link w:val="Heading5"/>
    <w:uiPriority w:val="9"/>
    <w:rsid w:val="597172FF"/>
    <w:rPr>
      <w:rFonts w:ascii="Calibri Light" w:cs="" w:eastAsia="" w:hAnsi="Calibri Light" w:asciiTheme="majorAscii" w:cstheme="majorBidi" w:eastAsiaTheme="majorEastAsia" w:hAnsiTheme="majorAscii"/>
      <w:noProof w:val="0"/>
      <w:color w:val="2f5496" w:themeColor="accent1" w:themeShade="0000BF"/>
      <w:lang w:val="ru-RU"/>
    </w:rPr>
  </w:style>
  <w:style w:type="character" w:styleId="Heading6Char" w:customStyle="1">
    <w:name w:val="Heading 6 Char"/>
    <w:basedOn w:val="DefaultParagraphFont"/>
    <w:link w:val="Heading6"/>
    <w:uiPriority w:val="9"/>
    <w:rsid w:val="597172FF"/>
    <w:rPr>
      <w:rFonts w:ascii="Calibri Light" w:cs="" w:eastAsia="" w:hAnsi="Calibri Light" w:asciiTheme="majorAscii" w:cstheme="majorBidi" w:eastAsiaTheme="majorEastAsia" w:hAnsiTheme="majorAscii"/>
      <w:noProof w:val="0"/>
      <w:color w:val="1f3763"/>
      <w:lang w:val="ru-RU"/>
    </w:rPr>
  </w:style>
  <w:style w:type="character" w:styleId="Heading7Char" w:customStyle="1">
    <w:name w:val="Heading 7 Char"/>
    <w:basedOn w:val="DefaultParagraphFont"/>
    <w:link w:val="Heading7"/>
    <w:uiPriority w:val="9"/>
    <w:rsid w:val="597172FF"/>
    <w:rPr>
      <w:rFonts w:ascii="Calibri Light" w:cs="" w:eastAsia="" w:hAnsi="Calibri Light" w:asciiTheme="majorAscii" w:cstheme="majorBidi" w:eastAsiaTheme="majorEastAsia" w:hAnsiTheme="majorAscii"/>
      <w:i w:val="1"/>
      <w:iCs w:val="1"/>
      <w:noProof w:val="0"/>
      <w:color w:val="1f3763"/>
      <w:lang w:val="ru-RU"/>
    </w:rPr>
  </w:style>
  <w:style w:type="character" w:styleId="Heading8Char" w:customStyle="1">
    <w:name w:val="Heading 8 Char"/>
    <w:basedOn w:val="DefaultParagraphFont"/>
    <w:link w:val="Heading8"/>
    <w:uiPriority w:val="9"/>
    <w:rsid w:val="597172FF"/>
    <w:rPr>
      <w:rFonts w:ascii="Calibri Light" w:cs="" w:eastAsia="" w:hAnsi="Calibri Light" w:asciiTheme="majorAscii" w:cstheme="majorBidi" w:eastAsiaTheme="majorEastAsia" w:hAnsiTheme="majorAscii"/>
      <w:noProof w:val="0"/>
      <w:color w:val="272727"/>
      <w:sz w:val="21"/>
      <w:szCs w:val="21"/>
      <w:lang w:val="ru-RU"/>
    </w:rPr>
  </w:style>
  <w:style w:type="character" w:styleId="Heading9Char" w:customStyle="1">
    <w:name w:val="Heading 9 Char"/>
    <w:basedOn w:val="DefaultParagraphFont"/>
    <w:link w:val="Heading9"/>
    <w:uiPriority w:val="9"/>
    <w:rsid w:val="597172FF"/>
    <w:rPr>
      <w:rFonts w:ascii="Calibri Light" w:cs="" w:eastAsia="" w:hAnsi="Calibri Light" w:asciiTheme="majorAscii" w:cstheme="majorBidi" w:eastAsiaTheme="majorEastAsia" w:hAnsiTheme="majorAscii"/>
      <w:i w:val="1"/>
      <w:iCs w:val="1"/>
      <w:noProof w:val="0"/>
      <w:color w:val="272727"/>
      <w:sz w:val="21"/>
      <w:szCs w:val="21"/>
      <w:lang w:val="ru-RU"/>
    </w:rPr>
  </w:style>
  <w:style w:type="character" w:styleId="TitleChar" w:customStyle="1">
    <w:name w:val="Title Char"/>
    <w:basedOn w:val="DefaultParagraphFont"/>
    <w:link w:val="Title"/>
    <w:uiPriority w:val="10"/>
    <w:rsid w:val="597172FF"/>
    <w:rPr>
      <w:rFonts w:ascii="Calibri Light" w:cs="" w:eastAsia="" w:hAnsi="Calibri Light" w:asciiTheme="majorAscii" w:cstheme="majorBidi" w:eastAsiaTheme="majorEastAsia" w:hAnsiTheme="majorAscii"/>
      <w:noProof w:val="0"/>
      <w:sz w:val="56"/>
      <w:szCs w:val="56"/>
      <w:lang w:val="ru-RU"/>
    </w:rPr>
  </w:style>
  <w:style w:type="character" w:styleId="SubtitleChar" w:customStyle="1">
    <w:name w:val="Subtitle Char"/>
    <w:basedOn w:val="DefaultParagraphFont"/>
    <w:link w:val="Subtitle"/>
    <w:uiPriority w:val="11"/>
    <w:rsid w:val="597172FF"/>
    <w:rPr>
      <w:rFonts w:ascii="Calibri" w:cs="" w:eastAsia="" w:hAnsi="Calibri" w:asciiTheme="minorAscii" w:cstheme="minorBidi" w:eastAsiaTheme="minorEastAsia" w:hAnsiTheme="minorAscii"/>
      <w:noProof w:val="0"/>
      <w:color w:val="5a5a5a"/>
      <w:lang w:val="ru-RU"/>
    </w:rPr>
  </w:style>
  <w:style w:type="character" w:styleId="QuoteChar" w:customStyle="1">
    <w:name w:val="Quote Char"/>
    <w:basedOn w:val="DefaultParagraphFont"/>
    <w:link w:val="Quote"/>
    <w:uiPriority w:val="29"/>
    <w:rsid w:val="597172FF"/>
    <w:rPr>
      <w:i w:val="1"/>
      <w:iCs w:val="1"/>
      <w:noProof w:val="0"/>
      <w:color w:val="404040" w:themeColor="text1" w:themeTint="0000BF"/>
      <w:lang w:val="ru-RU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597172FF"/>
    <w:rPr>
      <w:i w:val="1"/>
      <w:iCs w:val="1"/>
      <w:noProof w:val="0"/>
      <w:color w:val="4472c4" w:themeColor="accent1"/>
      <w:lang w:val="ru-RU"/>
    </w:rPr>
  </w:style>
  <w:style w:type="paragraph" w:styleId="TOC1">
    <w:name w:val="toc 1"/>
    <w:basedOn w:val="Normal"/>
    <w:next w:val="Normal"/>
    <w:uiPriority w:val="39"/>
    <w:unhideWhenUsed w:val="1"/>
    <w:rsid w:val="597172FF"/>
    <w:pPr>
      <w:spacing w:after="100"/>
    </w:pPr>
  </w:style>
  <w:style w:type="paragraph" w:styleId="TOC2">
    <w:name w:val="toc 2"/>
    <w:basedOn w:val="Normal"/>
    <w:next w:val="Normal"/>
    <w:uiPriority w:val="39"/>
    <w:unhideWhenUsed w:val="1"/>
    <w:rsid w:val="597172FF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 w:val="1"/>
    <w:rsid w:val="597172FF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 w:val="1"/>
    <w:rsid w:val="597172FF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 w:val="1"/>
    <w:rsid w:val="597172FF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 w:val="1"/>
    <w:rsid w:val="597172FF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 w:val="1"/>
    <w:rsid w:val="597172FF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 w:val="1"/>
    <w:rsid w:val="597172FF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 w:val="1"/>
    <w:rsid w:val="597172FF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 w:val="1"/>
    <w:unhideWhenUsed w:val="1"/>
    <w:rsid w:val="597172FF"/>
    <w:pPr>
      <w:spacing w:after="0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 w:val="1"/>
    <w:rsid w:val="597172FF"/>
    <w:rPr>
      <w:noProof w:val="0"/>
      <w:sz w:val="20"/>
      <w:szCs w:val="20"/>
      <w:lang w:val="ru-RU"/>
    </w:rPr>
  </w:style>
  <w:style w:type="paragraph" w:styleId="Footer">
    <w:name w:val="footer"/>
    <w:basedOn w:val="Normal"/>
    <w:link w:val="FooterChar"/>
    <w:uiPriority w:val="99"/>
    <w:unhideWhenUsed w:val="1"/>
    <w:rsid w:val="597172FF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597172FF"/>
    <w:rPr>
      <w:noProof w:val="0"/>
      <w:lang w:val="ru-RU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597172FF"/>
    <w:pPr>
      <w:spacing w:after="0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597172FF"/>
    <w:rPr>
      <w:noProof w:val="0"/>
      <w:sz w:val="20"/>
      <w:szCs w:val="20"/>
      <w:lang w:val="ru-RU"/>
    </w:rPr>
  </w:style>
  <w:style w:type="paragraph" w:styleId="Header">
    <w:name w:val="header"/>
    <w:basedOn w:val="Normal"/>
    <w:link w:val="HeaderChar"/>
    <w:uiPriority w:val="99"/>
    <w:unhideWhenUsed w:val="1"/>
    <w:rsid w:val="597172FF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597172FF"/>
    <w:rPr>
      <w:noProof w:val="0"/>
      <w:lang w:val="ru-RU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color w:val="5a5a5a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30.png"/><Relationship Id="rId21" Type="http://schemas.openxmlformats.org/officeDocument/2006/relationships/image" Target="media/image18.png"/><Relationship Id="rId24" Type="http://schemas.openxmlformats.org/officeDocument/2006/relationships/image" Target="media/image21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8.png"/><Relationship Id="rId25" Type="http://schemas.openxmlformats.org/officeDocument/2006/relationships/image" Target="media/image29.png"/><Relationship Id="rId28" Type="http://schemas.openxmlformats.org/officeDocument/2006/relationships/image" Target="media/image1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4.png"/><Relationship Id="rId8" Type="http://schemas.openxmlformats.org/officeDocument/2006/relationships/image" Target="media/image16.png"/><Relationship Id="rId31" Type="http://schemas.openxmlformats.org/officeDocument/2006/relationships/image" Target="media/image5.png"/><Relationship Id="rId30" Type="http://schemas.openxmlformats.org/officeDocument/2006/relationships/image" Target="media/image19.png"/><Relationship Id="rId11" Type="http://schemas.openxmlformats.org/officeDocument/2006/relationships/image" Target="media/image7.png"/><Relationship Id="rId33" Type="http://schemas.openxmlformats.org/officeDocument/2006/relationships/image" Target="media/image14.png"/><Relationship Id="rId10" Type="http://schemas.openxmlformats.org/officeDocument/2006/relationships/image" Target="media/image12.png"/><Relationship Id="rId32" Type="http://schemas.openxmlformats.org/officeDocument/2006/relationships/image" Target="media/image3.png"/><Relationship Id="rId13" Type="http://schemas.openxmlformats.org/officeDocument/2006/relationships/image" Target="media/image17.png"/><Relationship Id="rId35" Type="http://schemas.openxmlformats.org/officeDocument/2006/relationships/image" Target="media/image27.png"/><Relationship Id="rId12" Type="http://schemas.openxmlformats.org/officeDocument/2006/relationships/image" Target="media/image9.png"/><Relationship Id="rId34" Type="http://schemas.openxmlformats.org/officeDocument/2006/relationships/image" Target="media/image8.png"/><Relationship Id="rId15" Type="http://schemas.openxmlformats.org/officeDocument/2006/relationships/image" Target="media/image2.png"/><Relationship Id="rId37" Type="http://schemas.openxmlformats.org/officeDocument/2006/relationships/header" Target="header1.xml"/><Relationship Id="rId14" Type="http://schemas.openxmlformats.org/officeDocument/2006/relationships/image" Target="media/image6.png"/><Relationship Id="rId36" Type="http://schemas.openxmlformats.org/officeDocument/2006/relationships/image" Target="media/image22.png"/><Relationship Id="rId17" Type="http://schemas.openxmlformats.org/officeDocument/2006/relationships/image" Target="media/image15.png"/><Relationship Id="rId39" Type="http://schemas.openxmlformats.org/officeDocument/2006/relationships/footer" Target="footer1.xml"/><Relationship Id="rId16" Type="http://schemas.openxmlformats.org/officeDocument/2006/relationships/image" Target="media/image24.png"/><Relationship Id="rId38" Type="http://schemas.openxmlformats.org/officeDocument/2006/relationships/footer" Target="footer2.xml"/><Relationship Id="rId19" Type="http://schemas.openxmlformats.org/officeDocument/2006/relationships/image" Target="media/image20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s3TR0CumpL9Fn/JTBnlB6lvHZg==">AMUW2mWOZo3BCgMOMck6/jyld+VSWyK9BUMNzCcKhPj++XAY23SDNq4opf7ls3xWwTPBSuOhYAXE2eab7BZTjwPEIg1Wbp+3f8hp+L2VpynyQpZTJ4o0XNGnSRI+glAOUAOeZ6D0jiCS6kgVlTiE+i9208jEP/eKg2ZzUyZ4Xe9DmrFiRmz1HKZzYuxCkS2AQgwwY79BJfKHa6zH9P4yj0GO6m4R7rFFddzvaf+xkBmYwD6njfOFy8sOYMG/L/LTHy7itOFD8iuk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2022-11-07T07:12:35.3638512Z</dcterms:created>
  <dc:creator>Oleg Lapshin</dc:creator>
</cp:coreProperties>
</file>