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&lt;!DOCTYPE html&gt;</w:t>
      </w:r>
    </w:p>
    <w:p>
      <w:pPr>
        <w:pStyle w:val="style0"/>
        <w:rPr/>
      </w:pPr>
      <w:r>
        <w:t>&lt;html lang="en"&gt;</w:t>
      </w:r>
    </w:p>
    <w:p>
      <w:pPr>
        <w:pStyle w:val="style0"/>
        <w:rPr/>
      </w:pPr>
      <w:r>
        <w:t>&lt;head&gt;</w:t>
      </w:r>
    </w:p>
    <w:p>
      <w:pPr>
        <w:pStyle w:val="style0"/>
        <w:rPr/>
      </w:pPr>
      <w:r>
        <w:t xml:space="preserve">    &lt;meta charset="UTF-8"&gt;</w:t>
      </w:r>
    </w:p>
    <w:p>
      <w:pPr>
        <w:pStyle w:val="style0"/>
        <w:rPr/>
      </w:pPr>
      <w:r>
        <w:t xml:space="preserve">    &lt;meta name="viewport" content="width=device-width, initial-scale=1.0"&gt;</w:t>
      </w:r>
    </w:p>
    <w:p>
      <w:pPr>
        <w:pStyle w:val="style0"/>
        <w:rPr/>
      </w:pPr>
      <w:r>
        <w:t xml:space="preserve">    &lt;title&gt;PEBC EE Diabetes Masterclass Quiz&lt;/title&gt;</w:t>
      </w:r>
    </w:p>
    <w:p>
      <w:pPr>
        <w:pStyle w:val="style0"/>
        <w:rPr/>
      </w:pPr>
      <w:r>
        <w:t xml:space="preserve">    &lt;style&gt;</w:t>
      </w:r>
    </w:p>
    <w:p>
      <w:pPr>
        <w:pStyle w:val="style0"/>
        <w:rPr/>
      </w:pPr>
      <w:r>
        <w:t xml:space="preserve">        body {</w:t>
      </w:r>
    </w:p>
    <w:p>
      <w:pPr>
        <w:pStyle w:val="style0"/>
        <w:rPr/>
      </w:pPr>
      <w:r>
        <w:t xml:space="preserve">            font-family: 'Segoe UI', Tahoma, Geneva, Verdana, sans-serif;</w:t>
      </w:r>
    </w:p>
    <w:p>
      <w:pPr>
        <w:pStyle w:val="style0"/>
        <w:rPr/>
      </w:pPr>
      <w:r>
        <w:t xml:space="preserve">            background-color: #f4f7f6;</w:t>
      </w:r>
    </w:p>
    <w:p>
      <w:pPr>
        <w:pStyle w:val="style0"/>
        <w:rPr/>
      </w:pPr>
      <w:r>
        <w:t xml:space="preserve">            color: #333;</w:t>
      </w:r>
    </w:p>
    <w:p>
      <w:pPr>
        <w:pStyle w:val="style0"/>
        <w:rPr/>
      </w:pPr>
      <w:r>
        <w:t xml:space="preserve">            line-height: 1.6;</w:t>
      </w:r>
    </w:p>
    <w:p>
      <w:pPr>
        <w:pStyle w:val="style0"/>
        <w:rPr/>
      </w:pPr>
      <w:r>
        <w:t xml:space="preserve">            margin: 0;</w:t>
      </w:r>
    </w:p>
    <w:p>
      <w:pPr>
        <w:pStyle w:val="style0"/>
        <w:rPr/>
      </w:pPr>
      <w:r>
        <w:t xml:space="preserve">            padding: 20px;</w:t>
      </w:r>
    </w:p>
    <w:p>
      <w:pPr>
        <w:pStyle w:val="style0"/>
        <w:rPr/>
      </w:pPr>
      <w:r>
        <w:t xml:space="preserve">        }</w:t>
      </w:r>
    </w:p>
    <w:p>
      <w:pPr>
        <w:pStyle w:val="style0"/>
        <w:rPr/>
      </w:pPr>
      <w:r>
        <w:t xml:space="preserve">        .container {</w:t>
      </w:r>
    </w:p>
    <w:p>
      <w:pPr>
        <w:pStyle w:val="style0"/>
        <w:rPr/>
      </w:pPr>
      <w:r>
        <w:t xml:space="preserve">            max-width: 900px;</w:t>
      </w:r>
    </w:p>
    <w:p>
      <w:pPr>
        <w:pStyle w:val="style0"/>
        <w:rPr/>
      </w:pPr>
      <w:r>
        <w:t xml:space="preserve">            margin: 0 auto;</w:t>
      </w:r>
    </w:p>
    <w:p>
      <w:pPr>
        <w:pStyle w:val="style0"/>
        <w:rPr/>
      </w:pPr>
      <w:r>
        <w:t xml:space="preserve">            background: #fff;</w:t>
      </w:r>
    </w:p>
    <w:p>
      <w:pPr>
        <w:pStyle w:val="style0"/>
        <w:rPr/>
      </w:pPr>
      <w:r>
        <w:t xml:space="preserve">            padding: 30px;</w:t>
      </w:r>
    </w:p>
    <w:p>
      <w:pPr>
        <w:pStyle w:val="style0"/>
        <w:rPr/>
      </w:pPr>
      <w:r>
        <w:t xml:space="preserve">            border-radius: 8px;</w:t>
      </w:r>
    </w:p>
    <w:p>
      <w:pPr>
        <w:pStyle w:val="style0"/>
        <w:rPr/>
      </w:pPr>
      <w:r>
        <w:t xml:space="preserve">            box-shadow: 0 4px 15px rgba(0,0,0,0.05);</w:t>
      </w:r>
    </w:p>
    <w:p>
      <w:pPr>
        <w:pStyle w:val="style0"/>
        <w:rPr/>
      </w:pPr>
      <w:r>
        <w:t xml:space="preserve">        }</w:t>
      </w:r>
    </w:p>
    <w:p>
      <w:pPr>
        <w:pStyle w:val="style0"/>
        <w:rPr/>
      </w:pPr>
      <w:r>
        <w:t xml:space="preserve">        h1 {</w:t>
      </w:r>
    </w:p>
    <w:p>
      <w:pPr>
        <w:pStyle w:val="style0"/>
        <w:rPr/>
      </w:pPr>
      <w:r>
        <w:t xml:space="preserve">            color: #1e3d59;</w:t>
      </w:r>
    </w:p>
    <w:p>
      <w:pPr>
        <w:pStyle w:val="style0"/>
        <w:rPr/>
      </w:pPr>
      <w:r>
        <w:t xml:space="preserve">            text-align: center;</w:t>
      </w:r>
    </w:p>
    <w:p>
      <w:pPr>
        <w:pStyle w:val="style0"/>
        <w:rPr/>
      </w:pPr>
      <w:r>
        <w:t xml:space="preserve">            border-bottom: 3px solid #1e3d59;</w:t>
      </w:r>
    </w:p>
    <w:p>
      <w:pPr>
        <w:pStyle w:val="style0"/>
        <w:rPr/>
      </w:pPr>
      <w:r>
        <w:t xml:space="preserve">            padding-bottom: 10px;</w:t>
      </w:r>
    </w:p>
    <w:p>
      <w:pPr>
        <w:pStyle w:val="style0"/>
        <w:rPr/>
      </w:pPr>
      <w:r>
        <w:t xml:space="preserve">        }</w:t>
      </w:r>
    </w:p>
    <w:p>
      <w:pPr>
        <w:pStyle w:val="style0"/>
        <w:rPr/>
      </w:pPr>
      <w:r>
        <w:t xml:space="preserve">        .instructions {</w:t>
      </w:r>
    </w:p>
    <w:p>
      <w:pPr>
        <w:pStyle w:val="style0"/>
        <w:rPr/>
      </w:pPr>
      <w:r>
        <w:t xml:space="preserve">            background-color: #e8f1f5;</w:t>
      </w:r>
    </w:p>
    <w:p>
      <w:pPr>
        <w:pStyle w:val="style0"/>
        <w:rPr/>
      </w:pPr>
      <w:r>
        <w:t xml:space="preserve">            padding: 15px;</w:t>
      </w:r>
    </w:p>
    <w:p>
      <w:pPr>
        <w:pStyle w:val="style0"/>
        <w:rPr/>
      </w:pPr>
      <w:r>
        <w:t xml:space="preserve">            border-left: 5px solid #1e3d59;</w:t>
      </w:r>
    </w:p>
    <w:p>
      <w:pPr>
        <w:pStyle w:val="style0"/>
        <w:rPr/>
      </w:pPr>
      <w:r>
        <w:t xml:space="preserve">            border-radius: 4px;</w:t>
      </w:r>
    </w:p>
    <w:p>
      <w:pPr>
        <w:pStyle w:val="style0"/>
        <w:rPr/>
      </w:pPr>
      <w:r>
        <w:t xml:space="preserve">            margin-bottom: 25px;</w:t>
      </w:r>
    </w:p>
    <w:p>
      <w:pPr>
        <w:pStyle w:val="style0"/>
        <w:rPr/>
      </w:pPr>
      <w:r>
        <w:t xml:space="preserve">            font-size: 0.95em;</w:t>
      </w:r>
    </w:p>
    <w:p>
      <w:pPr>
        <w:pStyle w:val="style0"/>
        <w:rPr/>
      </w:pPr>
      <w:r>
        <w:t xml:space="preserve">        }</w:t>
      </w:r>
    </w:p>
    <w:p>
      <w:pPr>
        <w:pStyle w:val="style0"/>
        <w:rPr/>
      </w:pPr>
      <w:r>
        <w:t xml:space="preserve">        .question-card {</w:t>
      </w:r>
    </w:p>
    <w:p>
      <w:pPr>
        <w:pStyle w:val="style0"/>
        <w:rPr/>
      </w:pPr>
      <w:r>
        <w:t xml:space="preserve">            background: #fdfdfd;</w:t>
      </w:r>
    </w:p>
    <w:p>
      <w:pPr>
        <w:pStyle w:val="style0"/>
        <w:rPr/>
      </w:pPr>
      <w:r>
        <w:t xml:space="preserve">            border: 1px solid #eef2f5;</w:t>
      </w:r>
    </w:p>
    <w:p>
      <w:pPr>
        <w:pStyle w:val="style0"/>
        <w:rPr/>
      </w:pPr>
      <w:r>
        <w:t xml:space="preserve">            border-radius: 6px;</w:t>
      </w:r>
    </w:p>
    <w:p>
      <w:pPr>
        <w:pStyle w:val="style0"/>
        <w:rPr/>
      </w:pPr>
      <w:r>
        <w:t xml:space="preserve">            padding: 20px;</w:t>
      </w:r>
    </w:p>
    <w:p>
      <w:pPr>
        <w:pStyle w:val="style0"/>
        <w:rPr/>
      </w:pPr>
      <w:r>
        <w:t xml:space="preserve">            margin-bottom: 25px;</w:t>
      </w:r>
    </w:p>
    <w:p>
      <w:pPr>
        <w:pStyle w:val="style0"/>
        <w:rPr/>
      </w:pPr>
      <w:r>
        <w:t xml:space="preserve">            box-shadow: 0 2px 5px rgba(0,0,0,0.02);</w:t>
      </w:r>
    </w:p>
    <w:p>
      <w:pPr>
        <w:pStyle w:val="style0"/>
        <w:rPr/>
      </w:pPr>
      <w:r>
        <w:t xml:space="preserve">        }</w:t>
      </w:r>
    </w:p>
    <w:p>
      <w:pPr>
        <w:pStyle w:val="style0"/>
        <w:rPr/>
      </w:pPr>
      <w:r>
        <w:t xml:space="preserve">        .question-text {</w:t>
      </w:r>
    </w:p>
    <w:p>
      <w:pPr>
        <w:pStyle w:val="style0"/>
        <w:rPr/>
      </w:pPr>
      <w:r>
        <w:t xml:space="preserve">            font-weight: 600;</w:t>
      </w:r>
    </w:p>
    <w:p>
      <w:pPr>
        <w:pStyle w:val="style0"/>
        <w:rPr/>
      </w:pPr>
      <w:r>
        <w:t xml:space="preserve">            font-size: 1.1em;</w:t>
      </w:r>
    </w:p>
    <w:p>
      <w:pPr>
        <w:pStyle w:val="style0"/>
        <w:rPr/>
      </w:pPr>
      <w:r>
        <w:t xml:space="preserve">            color: #1e3d59;</w:t>
      </w:r>
    </w:p>
    <w:p>
      <w:pPr>
        <w:pStyle w:val="style0"/>
        <w:rPr/>
      </w:pPr>
      <w:r>
        <w:t xml:space="preserve">            margin-bottom: 15px;</w:t>
      </w:r>
    </w:p>
    <w:p>
      <w:pPr>
        <w:pStyle w:val="style0"/>
        <w:rPr/>
      </w:pPr>
      <w:r>
        <w:t xml:space="preserve">        }</w:t>
      </w:r>
    </w:p>
    <w:p>
      <w:pPr>
        <w:pStyle w:val="style0"/>
        <w:rPr/>
      </w:pPr>
      <w:r>
        <w:t xml:space="preserve">        .options-container {</w:t>
      </w:r>
    </w:p>
    <w:p>
      <w:pPr>
        <w:pStyle w:val="style0"/>
        <w:rPr/>
      </w:pPr>
      <w:r>
        <w:t xml:space="preserve">            display: flex;</w:t>
      </w:r>
    </w:p>
    <w:p>
      <w:pPr>
        <w:pStyle w:val="style0"/>
        <w:rPr/>
      </w:pPr>
      <w:r>
        <w:t xml:space="preserve">            flex-direction: column;</w:t>
      </w:r>
    </w:p>
    <w:p>
      <w:pPr>
        <w:pStyle w:val="style0"/>
        <w:rPr/>
      </w:pPr>
      <w:r>
        <w:t xml:space="preserve">            gap: 10px;</w:t>
      </w:r>
    </w:p>
    <w:p>
      <w:pPr>
        <w:pStyle w:val="style0"/>
        <w:rPr/>
      </w:pPr>
      <w:r>
        <w:t xml:space="preserve">        }</w:t>
      </w:r>
    </w:p>
    <w:p>
      <w:pPr>
        <w:pStyle w:val="style0"/>
        <w:rPr/>
      </w:pPr>
      <w:r>
        <w:t xml:space="preserve">        .option-label {</w:t>
      </w:r>
    </w:p>
    <w:p>
      <w:pPr>
        <w:pStyle w:val="style0"/>
        <w:rPr/>
      </w:pPr>
      <w:r>
        <w:t xml:space="preserve">            display: flex;</w:t>
      </w:r>
    </w:p>
    <w:p>
      <w:pPr>
        <w:pStyle w:val="style0"/>
        <w:rPr/>
      </w:pPr>
      <w:r>
        <w:t xml:space="preserve">            align-items: flex-start;</w:t>
      </w:r>
    </w:p>
    <w:p>
      <w:pPr>
        <w:pStyle w:val="style0"/>
        <w:rPr/>
      </w:pPr>
      <w:r>
        <w:t xml:space="preserve">            background: #fff;</w:t>
      </w:r>
    </w:p>
    <w:p>
      <w:pPr>
        <w:pStyle w:val="style0"/>
        <w:rPr/>
      </w:pPr>
      <w:r>
        <w:t xml:space="preserve">            border: 1px solid #cbd5e1;</w:t>
      </w:r>
    </w:p>
    <w:p>
      <w:pPr>
        <w:pStyle w:val="style0"/>
        <w:rPr/>
      </w:pPr>
      <w:r>
        <w:t xml:space="preserve">            padding: 12px 15px;</w:t>
      </w:r>
    </w:p>
    <w:p>
      <w:pPr>
        <w:pStyle w:val="style0"/>
        <w:rPr/>
      </w:pPr>
      <w:r>
        <w:t xml:space="preserve">            border-radius: 5px;</w:t>
      </w:r>
    </w:p>
    <w:p>
      <w:pPr>
        <w:pStyle w:val="style0"/>
        <w:rPr/>
      </w:pPr>
      <w:r>
        <w:t xml:space="preserve">            cursor: pointer;</w:t>
      </w:r>
    </w:p>
    <w:p>
      <w:pPr>
        <w:pStyle w:val="style0"/>
        <w:rPr/>
      </w:pPr>
      <w:r>
        <w:t xml:space="preserve">            transition: all 0.2s ease;</w:t>
      </w:r>
    </w:p>
    <w:p>
      <w:pPr>
        <w:pStyle w:val="style0"/>
        <w:rPr/>
      </w:pPr>
      <w:r>
        <w:t xml:space="preserve">        }</w:t>
      </w:r>
    </w:p>
    <w:p>
      <w:pPr>
        <w:pStyle w:val="style0"/>
        <w:rPr/>
      </w:pPr>
      <w:r>
        <w:t xml:space="preserve">        .option-label:hover {</w:t>
      </w:r>
    </w:p>
    <w:p>
      <w:pPr>
        <w:pStyle w:val="style0"/>
        <w:rPr/>
      </w:pPr>
      <w:r>
        <w:t xml:space="preserve">            background-color: #f1f5f9;</w:t>
      </w:r>
    </w:p>
    <w:p>
      <w:pPr>
        <w:pStyle w:val="style0"/>
        <w:rPr/>
      </w:pPr>
      <w:r>
        <w:t xml:space="preserve">            border-color: #94a3b8;</w:t>
      </w:r>
    </w:p>
    <w:p>
      <w:pPr>
        <w:pStyle w:val="style0"/>
        <w:rPr/>
      </w:pPr>
      <w:r>
        <w:t xml:space="preserve">        }</w:t>
      </w:r>
    </w:p>
    <w:p>
      <w:pPr>
        <w:pStyle w:val="style0"/>
        <w:rPr/>
      </w:pPr>
      <w:r>
        <w:t xml:space="preserve">        .option-label input {</w:t>
      </w:r>
    </w:p>
    <w:p>
      <w:pPr>
        <w:pStyle w:val="style0"/>
        <w:rPr/>
      </w:pPr>
      <w:r>
        <w:t xml:space="preserve">            margin-right: 12px;</w:t>
      </w:r>
    </w:p>
    <w:p>
      <w:pPr>
        <w:pStyle w:val="style0"/>
        <w:rPr/>
      </w:pPr>
      <w:r>
        <w:t xml:space="preserve">            margin-top: 4px;</w:t>
      </w:r>
    </w:p>
    <w:p>
      <w:pPr>
        <w:pStyle w:val="style0"/>
        <w:rPr/>
      </w:pPr>
      <w:r>
        <w:t xml:space="preserve">        }</w:t>
      </w:r>
    </w:p>
    <w:p>
      <w:pPr>
        <w:pStyle w:val="style0"/>
        <w:rPr/>
      </w:pPr>
      <w:r>
        <w:t xml:space="preserve">        .explanation-box {</w:t>
      </w:r>
    </w:p>
    <w:p>
      <w:pPr>
        <w:pStyle w:val="style0"/>
        <w:rPr/>
      </w:pPr>
      <w:r>
        <w:t xml:space="preserve">            display: none;</w:t>
      </w:r>
    </w:p>
    <w:p>
      <w:pPr>
        <w:pStyle w:val="style0"/>
        <w:rPr/>
      </w:pPr>
      <w:r>
        <w:t xml:space="preserve">            margin-top: 15px;</w:t>
      </w:r>
    </w:p>
    <w:p>
      <w:pPr>
        <w:pStyle w:val="style0"/>
        <w:rPr/>
      </w:pPr>
      <w:r>
        <w:t xml:space="preserve">            padding: 15px;</w:t>
      </w:r>
    </w:p>
    <w:p>
      <w:pPr>
        <w:pStyle w:val="style0"/>
        <w:rPr/>
      </w:pPr>
      <w:r>
        <w:t xml:space="preserve">            background-color: #f8fafc;</w:t>
      </w:r>
    </w:p>
    <w:p>
      <w:pPr>
        <w:pStyle w:val="style0"/>
        <w:rPr/>
      </w:pPr>
      <w:r>
        <w:t xml:space="preserve">            border-left: 4px solid #0284c7;</w:t>
      </w:r>
    </w:p>
    <w:p>
      <w:pPr>
        <w:pStyle w:val="style0"/>
        <w:rPr/>
      </w:pPr>
      <w:r>
        <w:t xml:space="preserve">            border-radius: 4px;</w:t>
      </w:r>
    </w:p>
    <w:p>
      <w:pPr>
        <w:pStyle w:val="style0"/>
        <w:rPr/>
      </w:pPr>
      <w:r>
        <w:t xml:space="preserve">            font-size: 0.95em;</w:t>
      </w:r>
    </w:p>
    <w:p>
      <w:pPr>
        <w:pStyle w:val="style0"/>
        <w:rPr/>
      </w:pPr>
      <w:r>
        <w:t xml:space="preserve">        }</w:t>
      </w:r>
    </w:p>
    <w:p>
      <w:pPr>
        <w:pStyle w:val="style0"/>
        <w:rPr/>
      </w:pPr>
      <w:r>
        <w:t xml:space="preserve">        .clinical-pearl {</w:t>
      </w:r>
    </w:p>
    <w:p>
      <w:pPr>
        <w:pStyle w:val="style0"/>
        <w:rPr/>
      </w:pPr>
      <w:r>
        <w:t xml:space="preserve">            margin-top: 10px;</w:t>
      </w:r>
    </w:p>
    <w:p>
      <w:pPr>
        <w:pStyle w:val="style0"/>
        <w:rPr/>
      </w:pPr>
      <w:r>
        <w:t xml:space="preserve">            background: #fffbeb;</w:t>
      </w:r>
    </w:p>
    <w:p>
      <w:pPr>
        <w:pStyle w:val="style0"/>
        <w:rPr/>
      </w:pPr>
      <w:r>
        <w:t xml:space="preserve">            border: 1px solid #fef3c7;</w:t>
      </w:r>
    </w:p>
    <w:p>
      <w:pPr>
        <w:pStyle w:val="style0"/>
        <w:rPr/>
      </w:pPr>
      <w:r>
        <w:t xml:space="preserve">            padding: 10px 12px;</w:t>
      </w:r>
    </w:p>
    <w:p>
      <w:pPr>
        <w:pStyle w:val="style0"/>
        <w:rPr/>
      </w:pPr>
      <w:r>
        <w:t xml:space="preserve">            border-radius: 4px;</w:t>
      </w:r>
    </w:p>
    <w:p>
      <w:pPr>
        <w:pStyle w:val="style0"/>
        <w:rPr/>
      </w:pPr>
      <w:r>
        <w:t xml:space="preserve">            color: #b45309;</w:t>
      </w:r>
    </w:p>
    <w:p>
      <w:pPr>
        <w:pStyle w:val="style0"/>
        <w:rPr/>
      </w:pPr>
      <w:r>
        <w:t xml:space="preserve">            font-weight: 500;</w:t>
      </w:r>
    </w:p>
    <w:p>
      <w:pPr>
        <w:pStyle w:val="style0"/>
        <w:rPr/>
      </w:pPr>
      <w:r>
        <w:t xml:space="preserve">        }</w:t>
      </w:r>
    </w:p>
    <w:p>
      <w:pPr>
        <w:pStyle w:val="style0"/>
        <w:rPr/>
      </w:pPr>
      <w:r>
        <w:t xml:space="preserve">        .correct {</w:t>
      </w:r>
    </w:p>
    <w:p>
      <w:pPr>
        <w:pStyle w:val="style0"/>
        <w:rPr/>
      </w:pPr>
      <w:r>
        <w:t xml:space="preserve">            background-color: #dcfce7 !important;</w:t>
      </w:r>
    </w:p>
    <w:p>
      <w:pPr>
        <w:pStyle w:val="style0"/>
        <w:rPr/>
      </w:pPr>
      <w:r>
        <w:t xml:space="preserve">            border-color: #22c55e !important;</w:t>
      </w:r>
    </w:p>
    <w:p>
      <w:pPr>
        <w:pStyle w:val="style0"/>
        <w:rPr/>
      </w:pPr>
      <w:r>
        <w:t xml:space="preserve">            color: #14532d;</w:t>
      </w:r>
    </w:p>
    <w:p>
      <w:pPr>
        <w:pStyle w:val="style0"/>
        <w:rPr/>
      </w:pPr>
      <w:r>
        <w:t xml:space="preserve">        }</w:t>
      </w:r>
    </w:p>
    <w:p>
      <w:pPr>
        <w:pStyle w:val="style0"/>
        <w:rPr/>
      </w:pPr>
      <w:r>
        <w:t xml:space="preserve">        .incorrect {</w:t>
      </w:r>
    </w:p>
    <w:p>
      <w:pPr>
        <w:pStyle w:val="style0"/>
        <w:rPr/>
      </w:pPr>
      <w:r>
        <w:t xml:space="preserve">            background-color: #fee2e2 !important;</w:t>
      </w:r>
    </w:p>
    <w:p>
      <w:pPr>
        <w:pStyle w:val="style0"/>
        <w:rPr/>
      </w:pPr>
      <w:r>
        <w:t xml:space="preserve">            border-color: #ef4444 !important;</w:t>
      </w:r>
    </w:p>
    <w:p>
      <w:pPr>
        <w:pStyle w:val="style0"/>
        <w:rPr/>
      </w:pPr>
      <w:r>
        <w:t xml:space="preserve">            color: #7f1d1d;</w:t>
      </w:r>
    </w:p>
    <w:p>
      <w:pPr>
        <w:pStyle w:val="style0"/>
        <w:rPr/>
      </w:pPr>
      <w:r>
        <w:t xml:space="preserve">        }</w:t>
      </w:r>
    </w:p>
    <w:p>
      <w:pPr>
        <w:pStyle w:val="style0"/>
        <w:rPr/>
      </w:pPr>
      <w:r>
        <w:t xml:space="preserve">        .submit-btn {</w:t>
      </w:r>
    </w:p>
    <w:p>
      <w:pPr>
        <w:pStyle w:val="style0"/>
        <w:rPr/>
      </w:pPr>
      <w:r>
        <w:t xml:space="preserve">            display: block;</w:t>
      </w:r>
    </w:p>
    <w:p>
      <w:pPr>
        <w:pStyle w:val="style0"/>
        <w:rPr/>
      </w:pPr>
      <w:r>
        <w:t xml:space="preserve">            width: 100%;</w:t>
      </w:r>
    </w:p>
    <w:p>
      <w:pPr>
        <w:pStyle w:val="style0"/>
        <w:rPr/>
      </w:pPr>
      <w:r>
        <w:t xml:space="preserve">            background-color: #1e3d59;</w:t>
      </w:r>
    </w:p>
    <w:p>
      <w:pPr>
        <w:pStyle w:val="style0"/>
        <w:rPr/>
      </w:pPr>
      <w:r>
        <w:t xml:space="preserve">            color: white;</w:t>
      </w:r>
    </w:p>
    <w:p>
      <w:pPr>
        <w:pStyle w:val="style0"/>
        <w:rPr/>
      </w:pPr>
      <w:r>
        <w:t xml:space="preserve">            border: none;</w:t>
      </w:r>
    </w:p>
    <w:p>
      <w:pPr>
        <w:pStyle w:val="style0"/>
        <w:rPr/>
      </w:pPr>
      <w:r>
        <w:t xml:space="preserve">            padding: 15px;</w:t>
      </w:r>
    </w:p>
    <w:p>
      <w:pPr>
        <w:pStyle w:val="style0"/>
        <w:rPr/>
      </w:pPr>
      <w:r>
        <w:t xml:space="preserve">            font-size: 1.1em;</w:t>
      </w:r>
    </w:p>
    <w:p>
      <w:pPr>
        <w:pStyle w:val="style0"/>
        <w:rPr/>
      </w:pPr>
      <w:r>
        <w:t xml:space="preserve">            font-weight: bold;</w:t>
      </w:r>
    </w:p>
    <w:p>
      <w:pPr>
        <w:pStyle w:val="style0"/>
        <w:rPr/>
      </w:pPr>
      <w:r>
        <w:t xml:space="preserve">            border-radius: 6px;</w:t>
      </w:r>
    </w:p>
    <w:p>
      <w:pPr>
        <w:pStyle w:val="style0"/>
        <w:rPr/>
      </w:pPr>
      <w:r>
        <w:t xml:space="preserve">            cursor: pointer;</w:t>
      </w:r>
    </w:p>
    <w:p>
      <w:pPr>
        <w:pStyle w:val="style0"/>
        <w:rPr/>
      </w:pPr>
      <w:r>
        <w:t xml:space="preserve">            transition: background 0.2s;</w:t>
      </w:r>
    </w:p>
    <w:p>
      <w:pPr>
        <w:pStyle w:val="style0"/>
        <w:rPr/>
      </w:pPr>
      <w:r>
        <w:t xml:space="preserve">            margin-top: 20px;</w:t>
      </w:r>
    </w:p>
    <w:p>
      <w:pPr>
        <w:pStyle w:val="style0"/>
        <w:rPr/>
      </w:pPr>
      <w:r>
        <w:t xml:space="preserve">        }</w:t>
      </w:r>
    </w:p>
    <w:p>
      <w:pPr>
        <w:pStyle w:val="style0"/>
        <w:rPr/>
      </w:pPr>
      <w:r>
        <w:t xml:space="preserve">        .submit-btn:hover {</w:t>
      </w:r>
    </w:p>
    <w:p>
      <w:pPr>
        <w:pStyle w:val="style0"/>
        <w:rPr/>
      </w:pPr>
      <w:r>
        <w:t xml:space="preserve">            background-color: #173047;</w:t>
      </w:r>
    </w:p>
    <w:p>
      <w:pPr>
        <w:pStyle w:val="style0"/>
        <w:rPr/>
      </w:pPr>
      <w:r>
        <w:t xml:space="preserve">        }</w:t>
      </w:r>
    </w:p>
    <w:p>
      <w:pPr>
        <w:pStyle w:val="style0"/>
        <w:rPr/>
      </w:pPr>
      <w:r>
        <w:t xml:space="preserve">        #result-banner {</w:t>
      </w:r>
    </w:p>
    <w:p>
      <w:pPr>
        <w:pStyle w:val="style0"/>
        <w:rPr/>
      </w:pPr>
      <w:r>
        <w:t xml:space="preserve">            display: none;</w:t>
      </w:r>
    </w:p>
    <w:p>
      <w:pPr>
        <w:pStyle w:val="style0"/>
        <w:rPr/>
      </w:pPr>
      <w:r>
        <w:t xml:space="preserve">            text-align: center;</w:t>
      </w:r>
    </w:p>
    <w:p>
      <w:pPr>
        <w:pStyle w:val="style0"/>
        <w:rPr/>
      </w:pPr>
      <w:r>
        <w:t xml:space="preserve">            padding: 25px;</w:t>
      </w:r>
    </w:p>
    <w:p>
      <w:pPr>
        <w:pStyle w:val="style0"/>
        <w:rPr/>
      </w:pPr>
      <w:r>
        <w:t xml:space="preserve">            background: #1e3d59;</w:t>
      </w:r>
    </w:p>
    <w:p>
      <w:pPr>
        <w:pStyle w:val="style0"/>
        <w:rPr/>
      </w:pPr>
      <w:r>
        <w:t xml:space="preserve">            color: white;</w:t>
      </w:r>
    </w:p>
    <w:p>
      <w:pPr>
        <w:pStyle w:val="style0"/>
        <w:rPr/>
      </w:pPr>
      <w:r>
        <w:t xml:space="preserve">            border-radius: 8px;</w:t>
      </w:r>
    </w:p>
    <w:p>
      <w:pPr>
        <w:pStyle w:val="style0"/>
        <w:rPr/>
      </w:pPr>
      <w:r>
        <w:t xml:space="preserve">            margin-top: 30px;</w:t>
      </w:r>
    </w:p>
    <w:p>
      <w:pPr>
        <w:pStyle w:val="style0"/>
        <w:rPr/>
      </w:pPr>
      <w:r>
        <w:t xml:space="preserve">            font-size: 1.3em;</w:t>
      </w:r>
    </w:p>
    <w:p>
      <w:pPr>
        <w:pStyle w:val="style0"/>
        <w:rPr/>
      </w:pPr>
      <w:r>
        <w:t xml:space="preserve">        }</w:t>
      </w:r>
    </w:p>
    <w:p>
      <w:pPr>
        <w:pStyle w:val="style0"/>
        <w:rPr/>
      </w:pPr>
      <w:r>
        <w:t xml:space="preserve">        .badge {</w:t>
      </w:r>
    </w:p>
    <w:p>
      <w:pPr>
        <w:pStyle w:val="style0"/>
        <w:rPr/>
      </w:pPr>
      <w:r>
        <w:t xml:space="preserve">            display: inline-block;</w:t>
      </w:r>
    </w:p>
    <w:p>
      <w:pPr>
        <w:pStyle w:val="style0"/>
        <w:rPr/>
      </w:pPr>
      <w:r>
        <w:t xml:space="preserve">            padding: 3px 8px;</w:t>
      </w:r>
    </w:p>
    <w:p>
      <w:pPr>
        <w:pStyle w:val="style0"/>
        <w:rPr/>
      </w:pPr>
      <w:r>
        <w:t xml:space="preserve">            font-size: 0.75em;</w:t>
      </w:r>
    </w:p>
    <w:p>
      <w:pPr>
        <w:pStyle w:val="style0"/>
        <w:rPr/>
      </w:pPr>
      <w:r>
        <w:t xml:space="preserve">            font-weight: bold;</w:t>
      </w:r>
    </w:p>
    <w:p>
      <w:pPr>
        <w:pStyle w:val="style0"/>
        <w:rPr/>
      </w:pPr>
      <w:r>
        <w:t xml:space="preserve">            border-radius: 4px;</w:t>
      </w:r>
    </w:p>
    <w:p>
      <w:pPr>
        <w:pStyle w:val="style0"/>
        <w:rPr/>
      </w:pPr>
      <w:r>
        <w:t xml:space="preserve">            margin-bottom: 5px;</w:t>
      </w:r>
    </w:p>
    <w:p>
      <w:pPr>
        <w:pStyle w:val="style0"/>
        <w:rPr/>
      </w:pPr>
      <w:r>
        <w:t xml:space="preserve">            text-transform: uppercase;</w:t>
      </w:r>
    </w:p>
    <w:p>
      <w:pPr>
        <w:pStyle w:val="style0"/>
        <w:rPr/>
      </w:pPr>
      <w:r>
        <w:t xml:space="preserve">        }</w:t>
      </w:r>
    </w:p>
    <w:p>
      <w:pPr>
        <w:pStyle w:val="style0"/>
        <w:rPr/>
      </w:pPr>
      <w:r>
        <w:t xml:space="preserve">        .badge-case { background-color: #3b82f6; color: white; }</w:t>
      </w:r>
    </w:p>
    <w:p>
      <w:pPr>
        <w:pStyle w:val="style0"/>
        <w:rPr/>
      </w:pPr>
      <w:r>
        <w:t xml:space="preserve">        .badge-calc { background-color: #ec4899; color: white; }</w:t>
      </w:r>
    </w:p>
    <w:p>
      <w:pPr>
        <w:pStyle w:val="style0"/>
        <w:rPr/>
      </w:pPr>
      <w:r>
        <w:t xml:space="preserve">    &lt;/style&gt;</w:t>
      </w:r>
    </w:p>
    <w:p>
      <w:pPr>
        <w:pStyle w:val="style0"/>
        <w:rPr/>
      </w:pPr>
      <w:r>
        <w:t>&lt;/head&gt;</w:t>
      </w:r>
    </w:p>
    <w:p>
      <w:pPr>
        <w:pStyle w:val="style0"/>
        <w:rPr/>
      </w:pPr>
      <w:r>
        <w:t>&lt;body&gt;</w:t>
      </w:r>
    </w:p>
    <w:p>
      <w:pPr>
        <w:pStyle w:val="style0"/>
        <w:rPr/>
      </w:pPr>
    </w:p>
    <w:p>
      <w:pPr>
        <w:pStyle w:val="style0"/>
        <w:rPr/>
      </w:pPr>
      <w:r>
        <w:t>&lt;div class="container"&gt;</w:t>
      </w:r>
    </w:p>
    <w:p>
      <w:pPr>
        <w:pStyle w:val="style0"/>
        <w:rPr/>
      </w:pPr>
      <w:r>
        <w:t xml:space="preserve">    &lt;h1&gt;PEBC Evaluating Exam: 30-Question Diabetes Masterclass&lt;/h1&gt;</w:t>
      </w:r>
    </w:p>
    <w:p>
      <w:pPr>
        <w:pStyle w:val="style0"/>
        <w:rPr/>
      </w:pPr>
      <w:r>
        <w:t xml:space="preserve">    &lt;div class="instructions"&gt;</w:t>
      </w:r>
    </w:p>
    <w:p>
      <w:pPr>
        <w:pStyle w:val="style0"/>
        <w:rPr/>
      </w:pPr>
      <w:r>
        <w:t xml:space="preserve">        &lt;strong&gt;Exam Blueprint Focus:&lt;/strong&gt; This interactive workspace focuses on high-yield, complex multi-step clinical reasoning cases found on the PEBC Evaluating Examination. Areas include Diabetes Canada 2023 Guidelines, pharmacokinetics of insulins, euglycemic crises, severe comorbidities (CKD, HF, CVD), and complex drug-induced metabolic problems. </w:t>
      </w:r>
    </w:p>
    <w:p>
      <w:pPr>
        <w:pStyle w:val="style0"/>
        <w:rPr/>
      </w:pPr>
      <w:r>
        <w:t xml:space="preserve">        &lt;br&gt;&lt;br&gt;</w:t>
      </w:r>
    </w:p>
    <w:p>
      <w:pPr>
        <w:pStyle w:val="style0"/>
        <w:rPr/>
      </w:pPr>
      <w:r>
        <w:t xml:space="preserve">        Select your answers and click &lt;strong&gt;"Submit and Score Exam"&lt;/strong&gt; at the bottom to see your score, item breakdown, options analysis, and critical clinical pearls.</w:t>
      </w:r>
    </w:p>
    <w:p>
      <w:pPr>
        <w:pStyle w:val="style0"/>
        <w:rPr/>
      </w:pPr>
      <w:r>
        <w:t xml:space="preserve">    &lt;/div&gt;</w:t>
      </w:r>
    </w:p>
    <w:p>
      <w:pPr>
        <w:pStyle w:val="style0"/>
        <w:rPr/>
      </w:pPr>
    </w:p>
    <w:p>
      <w:pPr>
        <w:pStyle w:val="style0"/>
        <w:rPr/>
      </w:pPr>
      <w:r>
        <w:t xml:space="preserve">    &lt;form id="quizForm"&gt;</w:t>
      </w:r>
    </w:p>
    <w:p>
      <w:pPr>
        <w:pStyle w:val="style0"/>
        <w:rPr/>
      </w:pPr>
      <w:r>
        <w:t xml:space="preserve">        &lt;div class="question-card" id="q1-box"&gt;</w:t>
      </w:r>
    </w:p>
    <w:p>
      <w:pPr>
        <w:pStyle w:val="style0"/>
        <w:rPr/>
      </w:pPr>
      <w:r>
        <w:t xml:space="preserve">            &lt;span class="badge badge-case"&gt;Clinical Case&lt;/span&gt;</w:t>
      </w:r>
    </w:p>
    <w:p>
      <w:pPr>
        <w:pStyle w:val="style0"/>
        <w:rPr/>
      </w:pPr>
      <w:r>
        <w:t xml:space="preserve">            &lt;div class="question-text"&gt;1. A 54-year-old male is newly diagnosed with Type 2 Diabetes Mellitus. His laboratory results reveal an A1C of 7.4%, an eGFR of 52 mL/min/1.73m², and a random spot urine ACR of 4.2 mg/mmol. His past medical history is significant for ischemic heart disease (myocardial infarction 2 years ago). Which of the following represents the most appropriate initial pharmacological approach for this patient according to Diabetes Canada guidelines?&lt;/div&gt;</w:t>
      </w:r>
    </w:p>
    <w:p>
      <w:pPr>
        <w:pStyle w:val="style0"/>
        <w:rPr/>
      </w:pPr>
      <w:r>
        <w:t xml:space="preserve">            &lt;div class="options-container"&gt;</w:t>
      </w:r>
    </w:p>
    <w:p>
      <w:pPr>
        <w:pStyle w:val="style0"/>
        <w:rPr/>
      </w:pPr>
      <w:r>
        <w:t xml:space="preserve">                &lt;label class="option-label"&gt;&lt;input type="radio" name="q1" value="A"&gt; A) Metformin monotherapy titrated to 1000 mg BID.&lt;/label&gt;</w:t>
      </w:r>
    </w:p>
    <w:p>
      <w:pPr>
        <w:pStyle w:val="style0"/>
        <w:rPr/>
      </w:pPr>
      <w:r>
        <w:t xml:space="preserve">                &lt;label class="option-label"&gt;&lt;input type="radio" name="q1" value="B"&gt; B) Metformin titrated to 1000 mg BID plus Empagliflozin 10 mg once daily.&lt;/label&gt;</w:t>
      </w:r>
    </w:p>
    <w:p>
      <w:pPr>
        <w:pStyle w:val="style0"/>
        <w:rPr/>
      </w:pPr>
      <w:r>
        <w:t xml:space="preserve">                &lt;label class="option-label"&gt;&lt;input type="radio" name="q1" value="C"&gt; C) Gliclazide MR 30 mg once daily to avoid renal strain.&lt;/label&gt;</w:t>
      </w:r>
    </w:p>
    <w:p>
      <w:pPr>
        <w:pStyle w:val="style0"/>
        <w:rPr/>
      </w:pPr>
      <w:r>
        <w:t xml:space="preserve">                &lt;label class="option-label"&gt;&lt;input type="radio" name="q1" value="D"&gt; D) Sitagliptin 100 mg once daily monotherapy.&lt;/label&gt;</w:t>
      </w:r>
    </w:p>
    <w:p>
      <w:pPr>
        <w:pStyle w:val="style0"/>
        <w:rPr/>
      </w:pPr>
      <w:r>
        <w:t xml:space="preserve">                &lt;label class="option-label"&gt;&lt;input type="radio" name="q1" value="E"&gt; E) Metformin titrated to 500 mg BID plus Pioglitazone 15 mg once daily.&lt;/label&gt;</w:t>
      </w:r>
    </w:p>
    <w:p>
      <w:pPr>
        <w:pStyle w:val="style0"/>
        <w:rPr/>
      </w:pPr>
      <w:r>
        <w:t xml:space="preserve">            &lt;/div&gt;</w:t>
      </w:r>
    </w:p>
    <w:p>
      <w:pPr>
        <w:pStyle w:val="style0"/>
        <w:rPr/>
      </w:pPr>
      <w:r>
        <w:t xml:space="preserve">            &lt;div class="explanation-box" id="exp-q1"&gt;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Under Diabetes Canada 2023 guidelines, if a patient has established cardiovascular disease (CVD), chronic kidney disease (CKD, urine ACR &gt; 3), or heart failure (HF), an agent with proven cardiorenal benefit (SGLT2 inhibitor or GLP-1 RA) must be added immediately alongside or instead of metformin, regardless of baseline A1C. Empagliflozin provides this essential secondary protection.&lt;/li&gt;</w:t>
      </w:r>
    </w:p>
    <w:p>
      <w:pPr>
        <w:pStyle w:val="style0"/>
        <w:rPr/>
      </w:pPr>
      <w:r>
        <w:t xml:space="preserve">                    &lt;li&gt;&lt;strong&gt;Why others are incorrect:&lt;/strong&gt; A ignores the mandatory rule for cardioprotective combinations in established CVD. C (Sulfonylurea) increases hypoglycemia risks and lacks structural cardiac protection. D does not provide the robust outcome reduction required for structural macrovascular history. E (Pioglitazone) causes fluid retention and is inappropriate for severe ischemic configurations.&lt;/li&gt;</w:t>
      </w:r>
    </w:p>
    <w:p>
      <w:pPr>
        <w:pStyle w:val="style0"/>
        <w:rPr/>
      </w:pPr>
      <w:r>
        <w:t xml:space="preserve">                &lt;/ul&gt;</w:t>
      </w:r>
    </w:p>
    <w:p>
      <w:pPr>
        <w:pStyle w:val="style0"/>
        <w:rPr/>
      </w:pPr>
      <w:r>
        <w:t xml:space="preserve">                &lt;div class="clinical-pearl"&gt;⭐ PEBC PEARL: Cardiorenal protection overrides glycemic targets! If established CVD, CKD, or HF is present, add an SGLT2i or GLP-1 RA regardless of what their A1C is.&lt;/div&gt;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id="q2-box"&gt;</w:t>
      </w:r>
    </w:p>
    <w:p>
      <w:pPr>
        <w:pStyle w:val="style0"/>
        <w:rPr/>
      </w:pPr>
      <w:r>
        <w:t xml:space="preserve">            &lt;span class="badge badge-case"&gt;Clinical Case&lt;/span&gt;</w:t>
      </w:r>
    </w:p>
    <w:p>
      <w:pPr>
        <w:pStyle w:val="style0"/>
        <w:rPr/>
      </w:pPr>
      <w:r>
        <w:t xml:space="preserve">            &lt;div class="question-text"&gt;2. A 28-year-old female patient with Type 1 Diabetes since childhood presents to the outpatient clinic planning for pregnancy in the next 3 months. Her current regimen is Basal-Bolus (Glargine U-100 once daily at bedtime and Aspart with meals). Her current A1C is 7.6%. Which of the following instructions represents the most accurate clinical advice for this preconception setting?&lt;/div&gt;</w:t>
      </w:r>
    </w:p>
    <w:p>
      <w:pPr>
        <w:pStyle w:val="style0"/>
        <w:rPr/>
      </w:pPr>
      <w:r>
        <w:t xml:space="preserve">            &lt;div class="options-container"&gt;</w:t>
      </w:r>
    </w:p>
    <w:p>
      <w:pPr>
        <w:pStyle w:val="style0"/>
        <w:rPr/>
      </w:pPr>
      <w:r>
        <w:t xml:space="preserve">                &lt;label class="option-label"&gt;&lt;input type="radio" name="q2" value="A"&gt; A) Transition her completely from Glargine to Metformin to eliminate teratogenicity risks.&lt;/label&gt;</w:t>
      </w:r>
    </w:p>
    <w:p>
      <w:pPr>
        <w:pStyle w:val="style0"/>
        <w:rPr/>
      </w:pPr>
      <w:r>
        <w:t xml:space="preserve">                &lt;label class="option-label"&gt;&lt;input type="radio" name="q2" value="B"&gt; B) Discontinue Aspart and manage her solely with intermediate-acting NPH insulin twice daily.&lt;/label&gt;</w:t>
      </w:r>
    </w:p>
    <w:p>
      <w:pPr>
        <w:pStyle w:val="style0"/>
        <w:rPr/>
      </w:pPr>
      <w:r>
        <w:t xml:space="preserve">                &lt;label class="option-label"&gt;&lt;input type="radio" name="q2" value="C"&gt; C) Optimize her current basal-bolus regimen to safely achieve an A1C target of &amp;le; 6.5% before conception.&lt;/label&gt;</w:t>
      </w:r>
    </w:p>
    <w:p>
      <w:pPr>
        <w:pStyle w:val="style0"/>
        <w:rPr/>
      </w:pPr>
      <w:r>
        <w:t xml:space="preserve">                &lt;label class="option-label"&gt;&lt;input type="radio" name="q2" value="D"&gt; D) Reassure her that her A1C of 7.6% is perfect because pregnancy targets are relaxed to &amp;le; 8.5% to avoid hypoglycemia.&lt;/label&gt;</w:t>
      </w:r>
    </w:p>
    <w:p>
      <w:pPr>
        <w:pStyle w:val="style0"/>
        <w:rPr/>
      </w:pPr>
      <w:r>
        <w:t xml:space="preserve">                &lt;label class="option-label"&gt;&lt;input type="radio" name="q2" value="E"&gt; E) Switch her rapid insulin to oral acarbose to minimize injection burdens.&lt;/label&gt;</w:t>
      </w:r>
    </w:p>
    <w:p>
      <w:pPr>
        <w:pStyle w:val="style0"/>
        <w:rPr/>
      </w:pPr>
      <w:r>
        <w:t xml:space="preserve">            &lt;/div&gt;</w:t>
      </w:r>
    </w:p>
    <w:p>
      <w:pPr>
        <w:pStyle w:val="style0"/>
        <w:rPr/>
      </w:pPr>
      <w:r>
        <w:t xml:space="preserve">            &lt;div class="explanation-box" id="exp-q2"&gt;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Insulin remains the absolute gold standard for Type 1 Diabetes in pregnancy and preconception. The target A1C before conception is &amp;le; 6.5% (or 7.0% if hypoglycemia risks are unusually severe) to lower the risk of congenital anomalies.&lt;/li&gt;</w:t>
      </w:r>
    </w:p>
    <w:p>
      <w:pPr>
        <w:pStyle w:val="style0"/>
        <w:rPr/>
      </w:pPr>
      <w:r>
        <w:t xml:space="preserve">                    &lt;li&gt;&lt;strong&gt;Why others are incorrect:&lt;/strong&gt; A is lethal; Type 1 diabetics have zero endogenous beta-cell capacity and will quickly plunge into life-threatening DKA without daily basal-bolus regimens. B is unnecessary as rapid-acting analogues are perfectly safe and maintain excellent glycemic control. D is incorrect; high blood sugar is highly teratogenic during early embryogenesis. E is completely wrong for Type 1 management.&lt;/li&gt;</w:t>
      </w:r>
    </w:p>
    <w:p>
      <w:pPr>
        <w:pStyle w:val="style0"/>
        <w:rPr/>
      </w:pPr>
      <w:r>
        <w:t xml:space="preserve">                &lt;/ul&gt;</w:t>
      </w:r>
    </w:p>
    <w:p>
      <w:pPr>
        <w:pStyle w:val="style0"/>
        <w:rPr/>
      </w:pPr>
      <w:r>
        <w:t xml:space="preserve">                &lt;div class="clinical-pearl"&gt;⭐ PEBC PEARL: Pregnancy targets are strictly tight (&amp;le; 6.5%). Oral agents must be discontinued (except specific allowances for Metformin/Glyburide in gestational contexts), and intensive insulin must be optimized.&lt;/div&gt;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id="q3-box"&gt;</w:t>
      </w:r>
    </w:p>
    <w:p>
      <w:pPr>
        <w:pStyle w:val="style0"/>
        <w:rPr/>
      </w:pPr>
      <w:r>
        <w:t xml:space="preserve">            &lt;span class="badge badge-case"&gt;Clinical Case&lt;/span&gt;</w:t>
      </w:r>
    </w:p>
    <w:p>
      <w:pPr>
        <w:pStyle w:val="style0"/>
        <w:rPr/>
      </w:pPr>
      <w:r>
        <w:t xml:space="preserve">            &lt;div class="question-text"&gt;3. An 68-year-old female with long-standing Type 2 Diabetes is brought to the Emergency Department by her family due to progressive confusion, lethargy, and extreme weakness over the past 4 days. Her current medications include Glyburide 10 mg BID and Metformin 1000 mg BID. Lab findings: Plasma Glucose 42.0 mmol/L, Serum Bicarbonate 21 mmol/L, Arterial pH 7.33, Serum Osmolality 342 mOsm/kg, and negative serum ketones. Which condition matches this presentation, and what is the key therapeutic priority?&lt;/div&gt;</w:t>
      </w:r>
    </w:p>
    <w:p>
      <w:pPr>
        <w:pStyle w:val="style0"/>
        <w:rPr/>
      </w:pPr>
      <w:r>
        <w:t xml:space="preserve">            &lt;div class="options-container"&gt;</w:t>
      </w:r>
    </w:p>
    <w:p>
      <w:pPr>
        <w:pStyle w:val="style0"/>
        <w:rPr/>
      </w:pPr>
      <w:r>
        <w:t xml:space="preserve">                &lt;label class="option-label"&gt;&lt;input type="radio" name="q3" value="A"&gt; A) Diabetic Ketoacidosis (DKA); immediate bolus of IV Sodium Bicarbonate.&lt;/label&gt;</w:t>
      </w:r>
    </w:p>
    <w:p>
      <w:pPr>
        <w:pStyle w:val="style0"/>
        <w:rPr/>
      </w:pPr>
      <w:r>
        <w:t xml:space="preserve">                &lt;label class="option-label"&gt;&lt;input type="radio" name="q3" value="B"&gt; B) Hyperosmolar Hyperglycemic State (HHS); aggressive IV fluid resuscitation using 0.9% NaCl.&lt;/label&gt;</w:t>
      </w:r>
    </w:p>
    <w:p>
      <w:pPr>
        <w:pStyle w:val="style0"/>
        <w:rPr/>
      </w:pPr>
      <w:r>
        <w:t xml:space="preserve">                &lt;label class="option-label"&gt;&lt;input type="radio" name="q3" value="C"&gt; C) Lactic Acidosis caused by Metformin; immediate initiation of high-volume hemodialysis.&lt;/label&gt;</w:t>
      </w:r>
    </w:p>
    <w:p>
      <w:pPr>
        <w:pStyle w:val="style0"/>
        <w:rPr/>
      </w:pPr>
      <w:r>
        <w:t xml:space="preserve">                &lt;label class="option-label"&gt;&lt;input type="radio" name="q3" value="D"&gt; D) Severe Glyburide-induced hypoglycemia; administration of Glucagon 1 mg IM.&lt;/label&gt;</w:t>
      </w:r>
    </w:p>
    <w:p>
      <w:pPr>
        <w:pStyle w:val="style0"/>
        <w:rPr/>
      </w:pPr>
      <w:r>
        <w:t xml:space="preserve">                &lt;label class="option-label"&gt;&lt;input type="radio" name="q3" value="E"&gt; E) Mild DKA; immediate subcutaneous administration of 30 units of NPH insulin.&lt;/label&gt;</w:t>
      </w:r>
    </w:p>
    <w:p>
      <w:pPr>
        <w:pStyle w:val="style0"/>
        <w:rPr/>
      </w:pPr>
      <w:r>
        <w:t xml:space="preserve">            &lt;/div&gt;</w:t>
      </w:r>
    </w:p>
    <w:p>
      <w:pPr>
        <w:pStyle w:val="style0"/>
        <w:rPr/>
      </w:pPr>
      <w:r>
        <w:t xml:space="preserve">            &lt;div class="explanation-box" id="exp-q3"&gt;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The patient exhibits classic criteria for Hyperosmolar Hyperglycemic State (HHS): extreme hyperglycemia (&gt;33 mmol/L), profound plasma hyperosmolality (&gt;320 mOsm/kg), normal/near-normal pH (&amp;ge;7.3), and lack of significant ketonemia. The cornerstone priority is aggressive volume correction to fix the massive fluid deficit (typically 8–10+ Liters).&lt;/li&gt;</w:t>
      </w:r>
    </w:p>
    <w:p>
      <w:pPr>
        <w:pStyle w:val="style0"/>
        <w:rPr/>
      </w:pPr>
      <w:r>
        <w:t xml:space="preserve">                    &lt;li&gt;&lt;strong&gt;Why others are incorrect:&lt;/strong&gt; A is eliminated by the lack of ketoacidosis (normal bicarbonate and pH). C is incorrect because the pH is normal, ruling out systemic lactic acidosis. D is contradictory because her blood glucose is dangerously high, not low. E is invalid since she has HHS, not DKA, requiring intensive IV fluids and specialized micro-titrated IV insulin infusion.&lt;/li&gt;</w:t>
      </w:r>
    </w:p>
    <w:p>
      <w:pPr>
        <w:pStyle w:val="style0"/>
        <w:rPr/>
      </w:pPr>
      <w:r>
        <w:t xml:space="preserve">                &lt;/ul&gt;</w:t>
      </w:r>
    </w:p>
    <w:p>
      <w:pPr>
        <w:pStyle w:val="style0"/>
        <w:rPr/>
      </w:pPr>
      <w:r>
        <w:t xml:space="preserve">                &lt;div class="clinical-pearl"&gt;⭐ PEBC PEARL: HHS involves extreme dehydration. Always handle the initial volume recovery phase using normal saline (0.9% NaCl) first before moving to insulin titrations if the initial potassium checks are stable!&lt;/div&gt;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id="q4-box"&gt;</w:t>
      </w:r>
    </w:p>
    <w:p>
      <w:pPr>
        <w:pStyle w:val="style0"/>
        <w:rPr/>
      </w:pPr>
      <w:r>
        <w:t xml:space="preserve">            &lt;span class="badge badge-case"&gt;Clinical Case&lt;/span&gt;</w:t>
      </w:r>
    </w:p>
    <w:p>
      <w:pPr>
        <w:pStyle w:val="style0"/>
        <w:rPr/>
      </w:pPr>
      <w:r>
        <w:t xml:space="preserve">            &lt;div class="question-text"&gt;4. A 41-year-old male with Type 1 Diabetes is admitted for severe Diabetic Ketoacidosis (DKA) triggered by an untreated dental abscess. Initial labs reveal a plasma glucose of 28 mmol/L, arterial pH of 7.12, serum bicarbonate of 9 mmol/L, and a serum potassium level of 2.9 mmol/L. Which of the following actions must the clinical team take immediately?&lt;/div&gt;</w:t>
      </w:r>
    </w:p>
    <w:p>
      <w:pPr>
        <w:pStyle w:val="style0"/>
        <w:rPr/>
      </w:pPr>
      <w:r>
        <w:t xml:space="preserve">            &lt;div class="options-container"&gt;</w:t>
      </w:r>
    </w:p>
    <w:p>
      <w:pPr>
        <w:pStyle w:val="style0"/>
        <w:rPr/>
      </w:pPr>
      <w:r>
        <w:t xml:space="preserve">                &lt;label class="option-label"&gt;&lt;input type="radio" name="q4" value="A"&gt; A) Start an intravenous regular insulin continuous infusion at 0.1 units/kg/hour immediately.&lt;/label&gt;</w:t>
      </w:r>
    </w:p>
    <w:p>
      <w:pPr>
        <w:pStyle w:val="style0"/>
        <w:rPr/>
      </w:pPr>
      <w:r>
        <w:t xml:space="preserve">                &lt;label class="option-label"&gt;&lt;input type="radio" name="q4" value="B"&gt; B) Hold insulin therapy and aggressively replace Potassium intravenously until serum levels cross 3.3 mmol/L.&lt;/label&gt;</w:t>
      </w:r>
    </w:p>
    <w:p>
      <w:pPr>
        <w:pStyle w:val="style0"/>
        <w:rPr/>
      </w:pPr>
      <w:r>
        <w:t xml:space="preserve">                &lt;label class="option-label"&gt;&lt;input type="radio" name="q4" value="C"&gt; C) Administer 100 mL of 8.4% Sodium Bicarbonate slow IV push to fix the critical systemic pH.&lt;/label&gt;</w:t>
      </w:r>
    </w:p>
    <w:p>
      <w:pPr>
        <w:pStyle w:val="style0"/>
        <w:rPr/>
      </w:pPr>
      <w:r>
        <w:t xml:space="preserve">                &lt;label class="option-label"&gt;&lt;input type="radio" name="q4" value="D"&gt; D) Administer a rapid subcutaneous bolus of 10 units of Lispro insulin.&lt;/label&gt;</w:t>
      </w:r>
    </w:p>
    <w:p>
      <w:pPr>
        <w:pStyle w:val="style0"/>
        <w:rPr/>
      </w:pPr>
      <w:r>
        <w:t xml:space="preserve">                &lt;label class="option-label"&gt;&lt;input type="radio" name="q4" value="E"&gt; E) Administer 1 mg of Glucagon intramuscularly to balance the intracellular environment.&lt;/label&gt;</w:t>
      </w:r>
    </w:p>
    <w:p>
      <w:pPr>
        <w:pStyle w:val="style0"/>
        <w:rPr/>
      </w:pPr>
      <w:r>
        <w:t xml:space="preserve">            &lt;/div&gt;</w:t>
      </w:r>
    </w:p>
    <w:p>
      <w:pPr>
        <w:pStyle w:val="style0"/>
        <w:rPr/>
      </w:pPr>
      <w:r>
        <w:t xml:space="preserve">            &lt;div class="explanation-box" id="exp-q4"&gt;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This is a critical safety rule on the PEBC exam. Insulin shifts potassium into cells. If a patient's potassium is under 3.3 mmol/L, administering insulin will drive serum levels even lower, risking fatal cardiac arrhythmias or cardiac arrest. Potassium must be corrected above 3.3 mmol/L before insulin is introduced.&lt;/li&gt;</w:t>
      </w:r>
    </w:p>
    <w:p>
      <w:pPr>
        <w:pStyle w:val="style0"/>
        <w:rPr/>
      </w:pPr>
      <w:r>
        <w:t xml:space="preserve">                    &lt;li&gt;&lt;strong&gt;Why others are incorrect:&lt;/strong&gt; A is highly dangerous because starting insulin with a baseline potassium of 2.9 mmol/L can induce a fatal arrhythmia. C is incorrect because routine bicarbonate is not recommended in DKA unless the pH drops below 6.9. D is incorrect because IV route is mandatory for acute DKA management. E is completely counterproductive as glucagon raises blood sugar and worsens osmotic diuresis.&lt;/li&gt;</w:t>
      </w:r>
    </w:p>
    <w:p>
      <w:pPr>
        <w:pStyle w:val="style0"/>
        <w:rPr/>
      </w:pPr>
      <w:r>
        <w:t xml:space="preserve">                &lt;/ul&gt;</w:t>
      </w:r>
    </w:p>
    <w:p>
      <w:pPr>
        <w:pStyle w:val="style0"/>
        <w:rPr/>
      </w:pPr>
      <w:r>
        <w:t xml:space="preserve">                &lt;div class="clinical-pearl"&gt;⭐ PEBC PEARL: CRITICAL POTASSIUM RULES IN DKA: If K &lt; 3.3 mmol/L, REPLACE FIRST, HOLD INSULIN. Total body potassium is always severely depleted in DKA, even if initial serum values appear high due to acidotic cellular shifts.&lt;/div&gt;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id="q5-box"&gt;</w:t>
      </w:r>
    </w:p>
    <w:p>
      <w:pPr>
        <w:pStyle w:val="style0"/>
        <w:rPr/>
      </w:pPr>
      <w:r>
        <w:t xml:space="preserve">            &lt;span class="badge badge-case"&gt;Clinical Case&lt;/span&gt;</w:t>
      </w:r>
    </w:p>
    <w:p>
      <w:pPr>
        <w:pStyle w:val="style0"/>
        <w:rPr/>
      </w:pPr>
      <w:r>
        <w:t xml:space="preserve">            &lt;div class="question-text"&gt;5. A 62-year-old male with a history of recurrent heart failure hospitalizations (NYHA Class III) and Type 2 Diabetes presents with an A1C of 7.9% on Metformin 1000 mg BID. Which of the following oral antidiabetic agents is absolute CONTRAINDICATED in this patient?&lt;/div&gt;</w:t>
      </w:r>
    </w:p>
    <w:p>
      <w:pPr>
        <w:pStyle w:val="style0"/>
        <w:rPr/>
      </w:pPr>
      <w:r>
        <w:t xml:space="preserve">            &lt;div class="options-container"&gt;</w:t>
      </w:r>
    </w:p>
    <w:p>
      <w:pPr>
        <w:pStyle w:val="style0"/>
        <w:rPr/>
      </w:pPr>
      <w:r>
        <w:t xml:space="preserve">                &lt;label class="option-label"&gt;&lt;input type="radio" name="q5" value="A"&gt; A) Pioglitazone&lt;/label&gt;</w:t>
      </w:r>
    </w:p>
    <w:p>
      <w:pPr>
        <w:pStyle w:val="style0"/>
        <w:rPr/>
      </w:pPr>
      <w:r>
        <w:t xml:space="preserve">                &lt;label class="option-label"&gt;&lt;input type="radio" name="q5" value="B"&gt; B) Empagliflozin&lt;/label&gt;</w:t>
      </w:r>
    </w:p>
    <w:p>
      <w:pPr>
        <w:pStyle w:val="style0"/>
        <w:rPr/>
      </w:pPr>
      <w:r>
        <w:t xml:space="preserve">                &lt;label class="option-label"&gt;&lt;input type="radio" name="q5" value="C"&gt; C) Sitagliptin&lt;/label&gt;</w:t>
      </w:r>
    </w:p>
    <w:p>
      <w:pPr>
        <w:pStyle w:val="style0"/>
        <w:rPr/>
      </w:pPr>
      <w:r>
        <w:t xml:space="preserve">                &lt;label class="option-label"&gt;&lt;input type="radio" name="q5" value="D"&gt; D) Gliclazide&lt;/label&gt;</w:t>
      </w:r>
    </w:p>
    <w:p>
      <w:pPr>
        <w:pStyle w:val="style0"/>
        <w:rPr/>
      </w:pPr>
      <w:r>
        <w:t xml:space="preserve">                &lt;label class="option-label"&gt;&lt;input type="radio" name="q5" value="E"&gt; E) Repaglinide&lt;/label&gt;</w:t>
      </w:r>
    </w:p>
    <w:p>
      <w:pPr>
        <w:pStyle w:val="style0"/>
        <w:rPr/>
      </w:pPr>
      <w:r>
        <w:t xml:space="preserve">            &lt;/div&gt;</w:t>
      </w:r>
    </w:p>
    <w:p>
      <w:pPr>
        <w:pStyle w:val="style0"/>
        <w:rPr/>
      </w:pPr>
      <w:r>
        <w:t xml:space="preserve">            &lt;div class="explanation-box" id="exp-q5"&gt;</w:t>
      </w:r>
    </w:p>
    <w:p>
      <w:pPr>
        <w:pStyle w:val="style0"/>
        <w:rPr/>
      </w:pPr>
      <w:r>
        <w:t xml:space="preserve">                &lt;strong&gt;Correct Answer: A&lt;/strong&gt;&lt;br&gt;</w:t>
      </w:r>
    </w:p>
    <w:p>
      <w:pPr>
        <w:pStyle w:val="style0"/>
        <w:rPr/>
      </w:pPr>
      <w:r>
        <w:t xml:space="preserve">                &lt;ul&gt;</w:t>
      </w:r>
    </w:p>
    <w:p>
      <w:pPr>
        <w:pStyle w:val="style0"/>
        <w:rPr/>
      </w:pPr>
      <w:r>
        <w:t xml:space="preserve">                    &lt;li&gt;&lt;strong&gt;Why A is correct:&lt;/strong&gt; Thiazolidinediones (TZDs), including Pioglitazone, activate PPAR-&amp;gamma; receptors in the collecting ducts, increasing sodium and fluid reabsorption. This causes fluid retention and peripheral edema, which can worsen or trigger acute decompensated heart failure. They are completely contraindicated in NYHA Class III and IV heart failure.&lt;/li&gt;</w:t>
      </w:r>
    </w:p>
    <w:p>
      <w:pPr>
        <w:pStyle w:val="style0"/>
        <w:rPr/>
      </w:pPr>
      <w:r>
        <w:t xml:space="preserve">                    &lt;li&gt;&lt;strong&gt;Why others are incorrect:&lt;/strong&gt; B (Empagliflozin) is highly beneficial and indicated for heart failure. C (Sitagliptin) is safe in heart failure, though other DPP-4 inhibitors like Saxagliptin increase hospitalization risk. D and E are not explicitly contraindicated, though they lack the heart failure benefits of SGLT2 inhibitors.&lt;/li&gt;</w:t>
      </w:r>
    </w:p>
    <w:p>
      <w:pPr>
        <w:pStyle w:val="style0"/>
        <w:rPr/>
      </w:pPr>
      <w:r>
        <w:t xml:space="preserve">                &lt;/ul&gt;</w:t>
      </w:r>
    </w:p>
    <w:p>
      <w:pPr>
        <w:pStyle w:val="style0"/>
        <w:rPr/>
      </w:pPr>
      <w:r>
        <w:t xml:space="preserve">                &lt;div class="clinical-pearl"&gt;⭐ PEBC PEARL: Never prescribe TZDs (Pioglitazone, Rosiglitazone) to patients with any history of heart failure. For DPP-4 inhibitors, avoid Saxagliptin and Alogliptin in heart failure settings; switch to Sitagliptin or Linagliptin if needed.&lt;/div&gt;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id="q6-box"&gt;</w:t>
      </w:r>
    </w:p>
    <w:p>
      <w:pPr>
        <w:pStyle w:val="style0"/>
        <w:rPr/>
      </w:pPr>
      <w:r>
        <w:t xml:space="preserve">            &lt;span class="badge badge-case"&gt;Clinical Case&lt;/span&gt;</w:t>
      </w:r>
    </w:p>
    <w:p>
      <w:pPr>
        <w:pStyle w:val="style0"/>
        <w:rPr/>
      </w:pPr>
      <w:r>
        <w:t xml:space="preserve">            &lt;div class="question-text"&gt;6. A patient with Type 2 Diabetes is taking Canagliflozin 300 mg daily. He is admitted to the hospital with a severe foot ulcer, high fever, nausea, and general malaise. His lab tests reveal an arterial pH of 7.21, a serum bicarbonate level of 11 mmol/L, elevated serum beta-hydroxybutyrate, and a plasma glucose level of 10.5 mmol/L. How should the pharmacist interpret these findings?&lt;/div&gt;</w:t>
      </w:r>
    </w:p>
    <w:p>
      <w:pPr>
        <w:pStyle w:val="style0"/>
        <w:rPr/>
      </w:pPr>
      <w:r>
        <w:t xml:space="preserve">            &lt;div class="options-container"&gt;</w:t>
      </w:r>
    </w:p>
    <w:p>
      <w:pPr>
        <w:pStyle w:val="style0"/>
        <w:rPr/>
      </w:pPr>
      <w:r>
        <w:t xml:space="preserve">                &lt;label class="option-label"&gt;&lt;input type="radio" name="q6" value="A"&gt; A) The patient does not have DKA because his glucose level is under 14 mmol/L.&lt;/label&gt;</w:t>
      </w:r>
    </w:p>
    <w:p>
      <w:pPr>
        <w:pStyle w:val="style0"/>
        <w:rPr/>
      </w:pPr>
      <w:r>
        <w:t xml:space="preserve">                &lt;label class="option-label"&gt;&lt;input type="radio" name="q6" value="B"&gt; B) This is a classic presentation of Metformin-induced lactic acidosis.&lt;/label&gt;</w:t>
      </w:r>
    </w:p>
    <w:p>
      <w:pPr>
        <w:pStyle w:val="style0"/>
        <w:rPr/>
      </w:pPr>
      <w:r>
        <w:t xml:space="preserve">                &lt;label class="option-label"&gt;&lt;input type="radio" name="q6" value="C"&gt; C) The patient is experiencing SGLT2 inhibitor-associated Euglycemic DKA (eDKA).&lt;/label&gt;</w:t>
      </w:r>
    </w:p>
    <w:p>
      <w:pPr>
        <w:pStyle w:val="style0"/>
        <w:rPr/>
      </w:pPr>
      <w:r>
        <w:t xml:space="preserve">                &lt;label class="option-label"&gt;&lt;input type="radio" name="q6" value="D"&gt; D) This represents simple dehydration; restart Canagliflozin immediately.&lt;/label&gt;</w:t>
      </w:r>
    </w:p>
    <w:p>
      <w:pPr>
        <w:pStyle w:val="style0"/>
        <w:rPr/>
      </w:pPr>
      <w:r>
        <w:t xml:space="preserve">                &lt;label class="option-label"&gt;&lt;input type="radio" name="q6" value="E"&gt; E) The lab results are conflicting and must be repeated before any clinical intervention.&lt;/label&gt;</w:t>
      </w:r>
    </w:p>
    <w:p>
      <w:pPr>
        <w:pStyle w:val="style0"/>
        <w:rPr/>
      </w:pPr>
      <w:r>
        <w:t xml:space="preserve">            &lt;/div&gt;</w:t>
      </w:r>
    </w:p>
    <w:p>
      <w:pPr>
        <w:pStyle w:val="style0"/>
        <w:rPr/>
      </w:pPr>
      <w:r>
        <w:t xml:space="preserve">            &lt;div class="explanation-box" id="exp-q6"&gt;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SGLT2 inhibitors can cause eugylcemic DKA (eDKA), where severe ketoacidosis occurs with normal or only mildly elevated blood glucose levels (&lt;14 mmol/L). Because these drugs promote glucose excretion in the urine, they lower plasma glucose levels even during severe insulin deficiency and advanced ketogenesis.&lt;/li&gt;</w:t>
      </w:r>
    </w:p>
    <w:p>
      <w:pPr>
        <w:pStyle w:val="style0"/>
        <w:rPr/>
      </w:pPr>
      <w:r>
        <w:t xml:space="preserve">                    &lt;li&gt;&lt;strong&gt;Why others are incorrect:&lt;/strong&gt; A is a dangerous assumption that overlooks eDKA criteria. B is ruled out by the high levels of beta-hydroxybutyrate (ketones). D is unsafe because SGLT2 inhibitors must be stopped immediately during severe acute illness, major surgery, or prolonged fasting to prevent worsening ketoacidosis. E delays life-saving medical management.&lt;/li&gt;</w:t>
      </w:r>
    </w:p>
    <w:p>
      <w:pPr>
        <w:pStyle w:val="style0"/>
        <w:rPr/>
      </w:pPr>
      <w:r>
        <w:t xml:space="preserve">                &lt;/ul&gt;</w:t>
      </w:r>
    </w:p>
    <w:p>
      <w:pPr>
        <w:pStyle w:val="style0"/>
        <w:rPr/>
      </w:pPr>
      <w:r>
        <w:t xml:space="preserve">                &lt;div class="clinical-pearl"&gt;⭐ PEBC PEARL: SGLT2i-associated DKA can hide behind normal blood sugar levels! SGLT2 inhibitors must be held at least 3 days before major surgeries or during severe acute illnesses (the 'SAD MANS' sick-day protocol).&lt;/div&gt;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id="q7-box"&gt;</w:t>
      </w:r>
    </w:p>
    <w:p>
      <w:pPr>
        <w:pStyle w:val="style0"/>
        <w:rPr/>
      </w:pPr>
      <w:r>
        <w:t xml:space="preserve">            &lt;span class="badge badge-case"&gt;Clinical Case&lt;/span&gt;</w:t>
      </w:r>
    </w:p>
    <w:p>
      <w:pPr>
        <w:pStyle w:val="style0"/>
        <w:rPr/>
      </w:pPr>
      <w:r>
        <w:t xml:space="preserve">            &lt;div class="question-text"&gt;7. A 72-year-old female patient with Type 2 Diabetes, chronic kidney disease (eGFR 28 mL/min/1.73m²), and mild cognitive impairment experiences recurrent episodes of symptomatic daytime hypoglycemia. Her medication list includes Metformin 500 mg BID and Glyburide 5 mg BID. Which of the following interventions is the most effective next step?&lt;/div&gt;</w:t>
      </w:r>
    </w:p>
    <w:p>
      <w:pPr>
        <w:pStyle w:val="style0"/>
        <w:rPr/>
      </w:pPr>
      <w:r>
        <w:t xml:space="preserve">            &lt;div class="options-container"&gt;</w:t>
      </w:r>
    </w:p>
    <w:p>
      <w:pPr>
        <w:pStyle w:val="style0"/>
        <w:rPr/>
      </w:pPr>
      <w:r>
        <w:t xml:space="preserve">                &lt;label class="option-label"&gt;&lt;input type="radio" name="q7" value="A"&gt; A) Increase Metformin to 1000 mg BID to stabilize counter-regulatory hormone levels.&lt;/label&gt;</w:t>
      </w:r>
    </w:p>
    <w:p>
      <w:pPr>
        <w:pStyle w:val="style0"/>
        <w:rPr/>
      </w:pPr>
      <w:r>
        <w:t xml:space="preserve">                &lt;label class="option-label"&gt;&lt;input type="radio" name="q7" value="B"&gt; B) Discontinue Glyburide completely and stop Metformin due to her low eGFR.&lt;/label&gt;</w:t>
      </w:r>
    </w:p>
    <w:p>
      <w:pPr>
        <w:pStyle w:val="style0"/>
        <w:rPr/>
      </w:pPr>
      <w:r>
        <w:t xml:space="preserve">                &lt;label class="option-label"&gt;&lt;input type="radio" name="q7" value="C"&gt; C) Switch Glyburide to Glimepiride 4 mg once daily to lower the renal clearance burden.&lt;/label&gt;</w:t>
      </w:r>
    </w:p>
    <w:p>
      <w:pPr>
        <w:pStyle w:val="style0"/>
        <w:rPr/>
      </w:pPr>
      <w:r>
        <w:t xml:space="preserve">                &lt;label class="option-label"&gt;&lt;input type="radio" name="q7" value="D"&gt; D) Relax her A1C target to &amp;le; 6.0% and add Pioglitazone.&lt;/label&gt;</w:t>
      </w:r>
    </w:p>
    <w:p>
      <w:pPr>
        <w:pStyle w:val="style0"/>
        <w:rPr/>
      </w:pPr>
      <w:r>
        <w:t xml:space="preserve">                &lt;label class="option-label"&gt;&lt;input type="radio" name="q7" value="E"&gt; E) Keep her current doses but advise her to double her carbohydrate intake with every meal.&lt;/label&gt;</w:t>
      </w:r>
    </w:p>
    <w:p>
      <w:pPr>
        <w:pStyle w:val="style0"/>
        <w:rPr/>
      </w:pPr>
      <w:r>
        <w:t xml:space="preserve">            &lt;/div&gt;</w:t>
      </w:r>
    </w:p>
    <w:p>
      <w:pPr>
        <w:pStyle w:val="style0"/>
        <w:rPr/>
      </w:pPr>
      <w:r>
        <w:t xml:space="preserve">            &lt;div class="explanation-box" id="exp-q7"&gt;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This case involves two distinct safety issues. First, Metformin is contraindicated when the eGFR falls below 30 mL/min/1.73m² due to the increased risk of lactic acidosis. Second, Glyburide has active metabolites that accumulate in renal impairment, causing severe and prolonged hypoglycemia. It is listed on the Beers Criteria as an agent to avoid in older adults. Stopping both drugs addresses both safety concerns.&lt;/li&gt;</w:t>
      </w:r>
    </w:p>
    <w:p>
      <w:pPr>
        <w:pStyle w:val="style0"/>
        <w:rPr/>
      </w:pPr>
      <w:r>
        <w:t xml:space="preserve">                    &lt;li&gt;&lt;strong&gt;Why others are incorrect:&lt;/strong&gt; A increases the risk of lactic acidosis. C keeps a long-acting sulfonylurea in place, which does not resolve her high risk for hypoglycemia. D is incorrect because her A1C target should be relaxed (e.g., to &amp;le;8.5%), not tightened, given her age and cognitive impairment. E does not address the underlying drug safety issues.&lt;/li&gt;</w:t>
      </w:r>
    </w:p>
    <w:p>
      <w:pPr>
        <w:pStyle w:val="style0"/>
        <w:rPr/>
      </w:pPr>
      <w:r>
        <w:t xml:space="preserve">                &lt;/ul&gt;</w:t>
      </w:r>
    </w:p>
    <w:p>
      <w:pPr>
        <w:pStyle w:val="style0"/>
        <w:rPr/>
      </w:pPr>
      <w:r>
        <w:t xml:space="preserve">                &lt;div class="clinical-pearl"&gt;⭐ PEBC PEARL: Avoid Glyburide in older adults or anyone with renal impairment. If a sulfonylurea is absolutely required, Gliclazide is preferred because it has no active renally cleared metabolites and carries a lower risk of hypoglycemia.&lt;/div&gt;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id="q8-box"&gt;</w:t>
      </w:r>
    </w:p>
    <w:p>
      <w:pPr>
        <w:pStyle w:val="style0"/>
        <w:rPr/>
      </w:pPr>
      <w:r>
        <w:t xml:space="preserve">            &lt;span class="badge badge-case"&gt;Clinical Case&lt;/span&gt;</w:t>
      </w:r>
    </w:p>
    <w:p>
      <w:pPr>
        <w:pStyle w:val="style0"/>
        <w:rPr/>
      </w:pPr>
      <w:r>
        <w:t xml:space="preserve">            &lt;div class="question-text"&gt;8. A 35-year-old male with Type 1 Diabetes is brought to the pharmacy by his spouse. He is sweaty, shaking, confused, and unable to follow simple instructions. The spouse checks his blood glucose, and it reads 2.6 mmol/L. He is conscious but uncooperative and refusing to swallow oral glucose gel. What is the most appropriate management strategy?&lt;/div&gt;</w:t>
      </w:r>
    </w:p>
    <w:p>
      <w:pPr>
        <w:pStyle w:val="style0"/>
        <w:rPr/>
      </w:pPr>
      <w:r>
        <w:t xml:space="preserve">            &lt;div class="options-container"&gt;</w:t>
      </w:r>
    </w:p>
    <w:p>
      <w:pPr>
        <w:pStyle w:val="style0"/>
        <w:rPr/>
      </w:pPr>
      <w:r>
        <w:t xml:space="preserve">                &lt;label class="option-label"&gt;&lt;input type="radio" name="q8" value="A"&gt; A) Force oral glucose tablets into his mouth and hold his jaw shut until he swallows.&lt;/label&gt;</w:t>
      </w:r>
    </w:p>
    <w:p>
      <w:pPr>
        <w:pStyle w:val="style0"/>
        <w:rPr/>
      </w:pPr>
      <w:r>
        <w:t xml:space="preserve">                &lt;label class="option-label"&gt;&lt;input type="radio" name="q8" value="B"&gt; B) Administer 1 mg of Glucagon via subcutaneous or intramuscular injection (or intranasal glucagon 3 mg).&lt;/label&gt;</w:t>
      </w:r>
    </w:p>
    <w:p>
      <w:pPr>
        <w:pStyle w:val="style0"/>
        <w:rPr/>
      </w:pPr>
      <w:r>
        <w:t xml:space="preserve">                &lt;label class="option-label"&gt;&lt;input type="radio" name="q8" value="C"&gt; C) Inject 10 units of rapid-acting Aspart insulin to suppress counter-regulatory spikes.&lt;/label&gt;</w:t>
      </w:r>
    </w:p>
    <w:p>
      <w:pPr>
        <w:pStyle w:val="style0"/>
        <w:rPr/>
      </w:pPr>
      <w:r>
        <w:t xml:space="preserve">                &lt;label class="option-label"&gt;&lt;input type="radio" name="q8" value="D"&gt; D) Have him drink 250 mL of diet cola immediately.&lt;/label&gt;</w:t>
      </w:r>
    </w:p>
    <w:p>
      <w:pPr>
        <w:pStyle w:val="style0"/>
        <w:rPr/>
      </w:pPr>
      <w:r>
        <w:t xml:space="preserve">                &lt;label class="option-label"&gt;&lt;input type="radio" name="q8" value="E"&gt; E) Advise the spouse to wait 30 minutes to see if his symptoms improve naturally.&lt;/label&gt;</w:t>
      </w:r>
    </w:p>
    <w:p>
      <w:pPr>
        <w:pStyle w:val="style0"/>
        <w:rPr/>
      </w:pPr>
      <w:r>
        <w:t xml:space="preserve">            &lt;/div&gt;</w:t>
      </w:r>
    </w:p>
    <w:p>
      <w:pPr>
        <w:pStyle w:val="style0"/>
        <w:rPr/>
      </w:pPr>
      <w:r>
        <w:t xml:space="preserve">            &lt;div class="explanation-box" id="exp-q8"&gt;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This is a case of severe hypoglycemia in an uncooperative patient who is at high risk for aspiration. Because he cannot safely or reliably swallow oral treatments, he must receive non-oral therapy. Glucagon (IM/SC or intranasal) stimulates the liver to release stored glucose, making it the standard choice for severe out-of-hospital hypoglycemia.&lt;/li&gt;</w:t>
      </w:r>
    </w:p>
    <w:p>
      <w:pPr>
        <w:pStyle w:val="style0"/>
        <w:rPr/>
      </w:pPr>
      <w:r>
        <w:t xml:space="preserve">                    &lt;li&gt;&lt;strong&gt;Why others are incorrect:&lt;/strong&gt; A poses a serious aspiration risk. C will worsen the hypoglycemia and could be fatal. D contains no sugar and will not correct the low blood glucose. E delays critical treatment for a medical emergency.&lt;/li&gt;</w:t>
      </w:r>
    </w:p>
    <w:p>
      <w:pPr>
        <w:pStyle w:val="style0"/>
        <w:rPr/>
      </w:pPr>
      <w:r>
        <w:t xml:space="preserve">                &lt;/ul&gt;</w:t>
      </w:r>
    </w:p>
    <w:p>
      <w:pPr>
        <w:pStyle w:val="style0"/>
        <w:rPr/>
      </w:pPr>
      <w:r>
        <w:t xml:space="preserve">                &lt;div class="clinical-pearl"&gt;⭐ PEBC PEARL: Never give oral therapies to a patient who is unconscious, convulsing, or unable to swallow safely. For out-of-hospital emergencies, use IM/SC or intranasal glucagon; in a hospital setting, use IV D50W.&lt;/div&gt;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id="q9-box"&gt;</w:t>
      </w:r>
    </w:p>
    <w:p>
      <w:pPr>
        <w:pStyle w:val="style0"/>
        <w:rPr/>
      </w:pPr>
      <w:r>
        <w:t xml:space="preserve">            &lt;span class="badge badge-case"&gt;Clinical Case&lt;/span&gt;</w:t>
      </w:r>
    </w:p>
    <w:p>
      <w:pPr>
        <w:pStyle w:val="style0"/>
        <w:rPr/>
      </w:pPr>
      <w:r>
        <w:t xml:space="preserve">            &lt;div class="question-text"&gt;9. A 59-year-old female with Type 2 Diabetes and established Stage 3 Chronic Kidney Disease (eGFR 38 mL/min/1.73m², urine ACR 18 mg/mmol) has an A1C of 7.8% while taking Metformin 500 mg BID. Which of the following agents is the most appropriate addition to improve glycemic control and slow the progression of her kidney disease?&lt;/div&gt;</w:t>
      </w:r>
    </w:p>
    <w:p>
      <w:pPr>
        <w:pStyle w:val="style0"/>
        <w:rPr/>
      </w:pPr>
      <w:r>
        <w:t xml:space="preserve">            &lt;div class="options-container"&gt;</w:t>
      </w:r>
    </w:p>
    <w:p>
      <w:pPr>
        <w:pStyle w:val="style0"/>
        <w:rPr/>
      </w:pPr>
      <w:r>
        <w:t xml:space="preserve">                &lt;label class="option-label"&gt;&lt;input type="radio" name="q9" value="A"&gt; A) Dapagliflozin 10 mg once daily&lt;/label&gt;</w:t>
      </w:r>
    </w:p>
    <w:p>
      <w:pPr>
        <w:pStyle w:val="style0"/>
        <w:rPr/>
      </w:pPr>
      <w:r>
        <w:t xml:space="preserve">                &lt;label class="option-label"&gt;&lt;input type="radio" name="q9" value="B"&gt; B) Linagliptin 5 mg once daily&lt;/label&gt;</w:t>
      </w:r>
    </w:p>
    <w:p>
      <w:pPr>
        <w:pStyle w:val="style0"/>
        <w:rPr/>
      </w:pPr>
      <w:r>
        <w:t xml:space="preserve">                &lt;label class="option-label"&gt;&lt;input type="radio" name="q9" value="C"&gt; C) Glyburide 5 mg once daily&lt;/label&gt;</w:t>
      </w:r>
    </w:p>
    <w:p>
      <w:pPr>
        <w:pStyle w:val="style0"/>
        <w:rPr/>
      </w:pPr>
      <w:r>
        <w:t xml:space="preserve">                &lt;label class="option-label"&gt;&lt;input type="radio" name="q9" value="D"&gt; D) Acarbose 50 mg TID with meals&lt;/label&gt;</w:t>
      </w:r>
    </w:p>
    <w:p>
      <w:pPr>
        <w:pStyle w:val="style0"/>
        <w:rPr/>
      </w:pPr>
      <w:r>
        <w:t xml:space="preserve">                &lt;label class="option-label"&gt;&lt;input type="radio" name="q9" value="E"&gt; E) Pioglitazone 30 mg once daily&lt;/label&gt;</w:t>
      </w:r>
    </w:p>
    <w:p>
      <w:pPr>
        <w:pStyle w:val="style0"/>
        <w:rPr/>
      </w:pPr>
      <w:r>
        <w:t xml:space="preserve">            &lt;/div&gt;</w:t>
      </w:r>
    </w:p>
    <w:p>
      <w:pPr>
        <w:pStyle w:val="style0"/>
        <w:rPr/>
      </w:pPr>
      <w:r>
        <w:t xml:space="preserve">            &lt;div class="explanation-box" id="exp-q9"&gt;</w:t>
      </w:r>
    </w:p>
    <w:p>
      <w:pPr>
        <w:pStyle w:val="style0"/>
        <w:rPr/>
      </w:pPr>
      <w:r>
        <w:t xml:space="preserve">                &lt;strong&gt;Correct Answer: A&lt;/strong&gt;&lt;br&gt;</w:t>
      </w:r>
    </w:p>
    <w:p>
      <w:pPr>
        <w:pStyle w:val="style0"/>
        <w:rPr/>
      </w:pPr>
      <w:r>
        <w:t xml:space="preserve">                &lt;ul&gt;</w:t>
      </w:r>
    </w:p>
    <w:p>
      <w:pPr>
        <w:pStyle w:val="style0"/>
        <w:rPr/>
      </w:pPr>
      <w:r>
        <w:t xml:space="preserve">                    &lt;li&gt;&lt;strong&gt;Why A is correct:&lt;/strong&gt; In patients with Type 2 Diabetes and diabetic nephropathy (eGFR between 20-60 mL/min/1.73m² or urine ACR &gt; 3 mg/mmol), an SGLT2 inhibitor like Dapagliflozin or Empagliflozin is strongly recommended. These agents reduce the risk of progressing to end-stage renal disease (ESRD) and lower cardiovascular risk, independent of their effect on blood glucose.&lt;/li&gt;</w:t>
      </w:r>
    </w:p>
    <w:p>
      <w:pPr>
        <w:pStyle w:val="style0"/>
        <w:rPr/>
      </w:pPr>
      <w:r>
        <w:t xml:space="preserve">                    &lt;li&gt;&lt;strong&gt;Why others are incorrect:&lt;/strong&gt; B (Linagliptin) is a safe option in renal impairment because it does not require a dose adjustment, but it does not offer the same structural renal or cardiovascular protection as an SGLT2 inhibitor. C is contraindicated due to its high risk of accumulation and hypoglycemia. D and E do not provide proven cardiorenal benefits and carry poor tolerability profiles in this clinical setting.&lt;/li&gt;</w:t>
      </w:r>
    </w:p>
    <w:p>
      <w:pPr>
        <w:pStyle w:val="style0"/>
        <w:rPr/>
      </w:pPr>
      <w:r>
        <w:t xml:space="preserve">                &lt;/ul&gt;</w:t>
      </w:r>
    </w:p>
    <w:p>
      <w:pPr>
        <w:pStyle w:val="style0"/>
        <w:rPr/>
      </w:pPr>
      <w:r>
        <w:t xml:space="preserve">                &lt;div class="clinical-pearl"&gt;⭐ PEBC PEARL: SGLT2 inhibitors provide renal protection down to an eGFR of 20–30 mL/min/1.73m². While their ability to lower blood glucose decreases as kidney function declines, their structural protection of the kidneys and heart remains effective.&lt;/div&gt;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id="q1-box"&gt;</w:t>
      </w:r>
    </w:p>
    <w:p>
      <w:pPr>
        <w:pStyle w:val="style0"/>
        <w:rPr/>
      </w:pPr>
      <w:r>
        <w:t xml:space="preserve">            &lt;span class="badge badge-case"&gt;Clinical Case&lt;/span&gt;</w:t>
      </w:r>
    </w:p>
    <w:p>
      <w:pPr>
        <w:pStyle w:val="style0"/>
        <w:rPr/>
      </w:pPr>
      <w:r>
        <w:t xml:space="preserve">            &lt;div class="question-text"&gt;10. A 48-year-old female patient with a history of medullary thyroid carcinoma (MTC) in her immediate family requires a treatment escalation for her Type 2 Diabetes. Her A1C is 8.2% despite taking Metformin 1000 mg BID. Which class of antidiabetic medications is strictly CONTRAINDICATED in this patient?&lt;/div&gt;</w:t>
      </w:r>
    </w:p>
    <w:p>
      <w:pPr>
        <w:pStyle w:val="style0"/>
        <w:rPr/>
      </w:pPr>
      <w:r>
        <w:t xml:space="preserve">            &lt;div class="options-container"&gt;</w:t>
      </w:r>
    </w:p>
    <w:p>
      <w:pPr>
        <w:pStyle w:val="style0"/>
        <w:rPr/>
      </w:pPr>
      <w:r>
        <w:t xml:space="preserve">                &lt;label class="option-label"&gt;&lt;input type="radio" name="q10" value="A"&gt; A) SGLT2 Inhibitors (e.g., Empagliflozin)&lt;/label&gt;</w:t>
      </w:r>
    </w:p>
    <w:p>
      <w:pPr>
        <w:pStyle w:val="style0"/>
        <w:rPr/>
      </w:pPr>
      <w:r>
        <w:t xml:space="preserve">                &lt;label class="option-label"&gt;&lt;input type="radio" name="q10" value="B"&gt; B) GLP-1 Receptor Agonists (e.g., Semaglutide, Liraglutide)&lt;/label&gt;</w:t>
      </w:r>
    </w:p>
    <w:p>
      <w:pPr>
        <w:pStyle w:val="style0"/>
        <w:rPr/>
      </w:pPr>
      <w:r>
        <w:t xml:space="preserve">                &lt;label class="option-label"&gt;&lt;input type="radio" name="q10" value="C"&gt; C) DPP-4 Inhibitors (e.g., Sitagliptin)&lt;/label&gt;</w:t>
      </w:r>
    </w:p>
    <w:p>
      <w:pPr>
        <w:pStyle w:val="style0"/>
        <w:rPr/>
      </w:pPr>
      <w:r>
        <w:t xml:space="preserve">                &lt;label class="option-label"&gt;&lt;input type="radio" name="q10" value="D"&gt; D) Thiazolidinediones (e.g., Pioglitazone)&lt;/label&gt;</w:t>
      </w:r>
    </w:p>
    <w:p>
      <w:pPr>
        <w:pStyle w:val="style0"/>
        <w:rPr/>
      </w:pPr>
      <w:r>
        <w:t xml:space="preserve">                &lt;label class="option-label"&gt;&lt;input type="radio" name="q10" value="E"&gt; E) Meglitinides (e.g., Repaglinide)&lt;/label&gt;</w:t>
      </w:r>
    </w:p>
    <w:p>
      <w:pPr>
        <w:pStyle w:val="style0"/>
        <w:rPr/>
      </w:pPr>
      <w:r>
        <w:t xml:space="preserve">            &lt;/div&gt;</w:t>
      </w:r>
    </w:p>
    <w:p>
      <w:pPr>
        <w:pStyle w:val="style0"/>
        <w:rPr/>
      </w:pPr>
      <w:r>
        <w:t xml:space="preserve">            &lt;div class="explanation-box" id="exp-q10"&gt;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GLP-1 receptor agonists carry a boxed warning and are contraindicated in patients with a personal or family history of medullary thyroid carcinoma (MTC) or Multiple Endocrine Neoplasia syndrome type 2 (MEN 2). This warning is based on rodent studies showing an increased risk of thyroid C-cell tumors.&lt;/li&gt;</w:t>
      </w:r>
    </w:p>
    <w:p>
      <w:pPr>
        <w:pStyle w:val="style0"/>
        <w:rPr/>
      </w:pPr>
      <w:r>
        <w:t xml:space="preserve">                    &lt;li&gt;&lt;strong&gt;Why others are incorrect:&lt;/strong&gt; A, C, D, and E are safe to use in patients with this specific family history, as they do not affect thyroid C-cell regulation.&lt;/li&gt;</w:t>
      </w:r>
    </w:p>
    <w:p>
      <w:pPr>
        <w:pStyle w:val="style0"/>
        <w:rPr/>
      </w:pPr>
      <w:r>
        <w:t xml:space="preserve">                &lt;/ul&gt;</w:t>
      </w:r>
    </w:p>
    <w:p>
      <w:pPr>
        <w:pStyle w:val="style0"/>
        <w:rPr/>
      </w:pPr>
      <w:r>
        <w:t xml:space="preserve">                &lt;div class="clinical-pearl"&gt;⭐ PEBC PEARL: Always screen for a family history of thyroid tumors before starting a GLP-1 receptor agonist. If a contraindication exists, use an SGLT2 inhibitor as the alternative choice for cardiorenal protection.&lt;/div&gt;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id="q11-box"&gt;</w:t>
      </w:r>
    </w:p>
    <w:p>
      <w:pPr>
        <w:pStyle w:val="style0"/>
        <w:rPr/>
      </w:pPr>
      <w:r>
        <w:t xml:space="preserve">            &lt;span class="badge badge-case"&gt;Clinical Case&lt;/span&gt;</w:t>
      </w:r>
    </w:p>
    <w:p>
      <w:pPr>
        <w:pStyle w:val="style0"/>
        <w:rPr/>
      </w:pPr>
      <w:r>
        <w:t xml:space="preserve">            &lt;div class="question-text"&gt;11. A 67-year-old male with Type 2 Diabetes is scheduled for an elective elective coronary artery bypass graft (CABG) surgery in 3 days. He currently takes Metformin, Empagliflozin, and Sitagliptin. What is the most appropriate perioperative advice regarding his SGLT2 inhibitor?&lt;/div&gt;</w:t>
      </w:r>
    </w:p>
    <w:p>
      <w:pPr>
        <w:pStyle w:val="style0"/>
        <w:rPr/>
      </w:pPr>
      <w:r>
        <w:t xml:space="preserve">            &lt;div class="options-container"&gt;</w:t>
      </w:r>
    </w:p>
    <w:p>
      <w:pPr>
        <w:pStyle w:val="style0"/>
        <w:rPr/>
      </w:pPr>
      <w:r>
        <w:t xml:space="preserve">                &lt;label class="option-label"&gt;&lt;input type="radio" name="q11" value="A"&gt; A) Continue Empagliflozin up to the morning of surgery to prevent stress hyperglycemia.&lt;/label&gt;</w:t>
      </w:r>
    </w:p>
    <w:p>
      <w:pPr>
        <w:pStyle w:val="style0"/>
        <w:rPr/>
      </w:pPr>
      <w:r>
        <w:t xml:space="preserve">                &lt;label class="option-label"&gt;&lt;input type="radio" name="q11" value="B"&gt; B) Hold Empagliflozin starting 3 days prior to surgery to minimize the risk of acute euglycemic DKA.&lt;/label&gt;</w:t>
      </w:r>
    </w:p>
    <w:p>
      <w:pPr>
        <w:pStyle w:val="style0"/>
        <w:rPr/>
      </w:pPr>
      <w:r>
        <w:t xml:space="preserve">                &lt;label class="option-label"&gt;&lt;input type="radio" name="q11" value="C"&gt; C) Double the dose of Empagliflozin 2 days before surgery to maximize cardioprotection during the operation.&lt;/label&gt;</w:t>
      </w:r>
    </w:p>
    <w:p>
      <w:pPr>
        <w:pStyle w:val="style0"/>
        <w:rPr/>
      </w:pPr>
      <w:r>
        <w:t xml:space="preserve">                &lt;label class="option-label"&gt;&lt;input type="radio" name="q11" value="D"&gt; D) Discontinue Sitagliptin but continue Empagliflozin throughout the hospital stay.&lt;/label&gt;</w:t>
      </w:r>
    </w:p>
    <w:p>
      <w:pPr>
        <w:pStyle w:val="style0"/>
        <w:rPr/>
      </w:pPr>
      <w:r>
        <w:t xml:space="preserve">                &lt;label class="option-label"&gt;&lt;input type="radio" name="q11" value="E"&gt; E) Switch Empagliflozin to Glyburide 24 hours before the procedure.&lt;/label&gt;</w:t>
      </w:r>
    </w:p>
    <w:p>
      <w:pPr>
        <w:pStyle w:val="style0"/>
        <w:rPr/>
      </w:pPr>
      <w:r>
        <w:t xml:space="preserve">            &lt;/div&gt;</w:t>
      </w:r>
    </w:p>
    <w:p>
      <w:pPr>
        <w:pStyle w:val="style0"/>
        <w:rPr/>
      </w:pPr>
      <w:r>
        <w:t xml:space="preserve">            &lt;div class="explanation-box" id="exp-q11"&gt;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Due to the risk of euglycemic DKA during periods of major physiological stress and reduced caloric intake, consensus guidelines state that SGLT2 inhibitors must be held at least 3 days before major surgeries or procedures requiring prolonged fasting.&lt;/li&gt;</w:t>
      </w:r>
    </w:p>
    <w:p>
      <w:pPr>
        <w:pStyle w:val="style0"/>
        <w:rPr/>
      </w:pPr>
      <w:r>
        <w:t xml:space="preserve">                    &lt;li&gt;&lt;strong&gt;Why others are incorrect:&lt;/strong&gt; A and C increase the risk of perioperative euglycemic DKA, which can be difficult to recognize due to normal or near-normal blood glucose levels. D is incorrect because the SGLT2 inhibitor is the primary drug that needs to be held. E is incorrect because sulfonylureas increase the risk of perioperative hypoglycemia and should also be held.&lt;/li&gt;</w:t>
      </w:r>
    </w:p>
    <w:p>
      <w:pPr>
        <w:pStyle w:val="style0"/>
        <w:rPr/>
      </w:pPr>
      <w:r>
        <w:t xml:space="preserve">                &lt;/ul&gt;</w:t>
      </w:r>
    </w:p>
    <w:p>
      <w:pPr>
        <w:pStyle w:val="style0"/>
        <w:rPr/>
      </w:pPr>
      <w:r>
        <w:t xml:space="preserve">                &lt;div class="clinical-pearl"&gt;⭐ PEBC PEARL: Remember the 'SAD MANS' protocol for temporary drug discontinuation during acute illness or surgery: Sulfonylureas, ACE inhibitors, Diuretics, Metformin, ARBs, NSAIDs, and SGLT2 inhibitors.&lt;/div&gt;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id="q12-box"&gt;</w:t>
      </w:r>
    </w:p>
    <w:p>
      <w:pPr>
        <w:pStyle w:val="style0"/>
        <w:rPr/>
      </w:pPr>
      <w:r>
        <w:t xml:space="preserve">            &lt;span class="badge badge-case"&gt;Clinical Case&lt;/span&gt;</w:t>
      </w:r>
    </w:p>
    <w:p>
      <w:pPr>
        <w:pStyle w:val="style0"/>
        <w:rPr/>
      </w:pPr>
      <w:r>
        <w:t xml:space="preserve">            &lt;div class="question-text"&gt;12. A 29-year-old patient with Type 1 Diabetes uses a basal-bolus regimen consisting of Glargine U-100 at bedtime and Lispro before meals. He plans to run a half-marathon tomorrow morning. What adjustment should be recommended to prevent hypoglycemia during this prolonged aerobic exercise?&lt;/div&gt;</w:t>
      </w:r>
    </w:p>
    <w:p>
      <w:pPr>
        <w:pStyle w:val="style0"/>
        <w:rPr/>
      </w:pPr>
      <w:r>
        <w:t xml:space="preserve">            &lt;div class="options-container"&gt;</w:t>
      </w:r>
    </w:p>
    <w:p>
      <w:pPr>
        <w:pStyle w:val="style0"/>
        <w:rPr/>
      </w:pPr>
      <w:r>
        <w:t xml:space="preserve">                &lt;label class="option-label"&gt;&lt;input type="radio" name="q12" value="A"&gt; A) Increase his pre-meal Lispro dose before the race to handle the metabolic breakdown products.&lt;/label&gt;</w:t>
      </w:r>
    </w:p>
    <w:p>
      <w:pPr>
        <w:pStyle w:val="style0"/>
        <w:rPr/>
      </w:pPr>
      <w:r>
        <w:t xml:space="preserve">                &lt;label class="option-label"&gt;&lt;input type="radio" name="q12" value="B"&gt; B) Reduce the pre-exercise rapid-acting insulin dose, ensure extra carbohydrate intake before/during the run, and consider a modest reduction in the basal insulin dose.&lt;/label&gt;</w:t>
      </w:r>
    </w:p>
    <w:p>
      <w:pPr>
        <w:pStyle w:val="style0"/>
        <w:rPr/>
      </w:pPr>
      <w:r>
        <w:t xml:space="preserve">                &lt;label class="option-label"&gt;&lt;input type="radio" name="q12" value="C"&gt; C) Inject 5 units of regular insulin directly into the thigh muscle immediately before running.&lt;/label&gt;</w:t>
      </w:r>
    </w:p>
    <w:p>
      <w:pPr>
        <w:pStyle w:val="style0"/>
        <w:rPr/>
      </w:pPr>
      <w:r>
        <w:t xml:space="preserve">                &lt;label class="option-label"&gt;&lt;input type="radio" name="q12" value="D"&gt; D) Hold all insulin doses for 24 hours prior to the race.&lt;/label&gt;</w:t>
      </w:r>
    </w:p>
    <w:p>
      <w:pPr>
        <w:pStyle w:val="style0"/>
        <w:rPr/>
      </w:pPr>
      <w:r>
        <w:t xml:space="preserve">                &lt;label class="option-label"&gt;&lt;input type="radio" name="q12" value="E"&gt; E) Switch from Lispro to Glyburide on the day of the race.&lt;/label&gt;</w:t>
      </w:r>
    </w:p>
    <w:p>
      <w:pPr>
        <w:pStyle w:val="style0"/>
        <w:rPr/>
      </w:pPr>
      <w:r>
        <w:t xml:space="preserve">            &lt;/div&gt;</w:t>
      </w:r>
    </w:p>
    <w:p>
      <w:pPr>
        <w:pStyle w:val="style0"/>
        <w:rPr/>
      </w:pPr>
      <w:r>
        <w:t xml:space="preserve">            &lt;div class="explanation-box" id="exp-q12"&gt;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Prolonged aerobic exercise significantly increases insulin sensitivity and glucose uptake into skeletal muscles, which increases the risk of severe hypoglycemia during and after the activity. To manage this risk, patients typically need to reduce their pre-meal bolus insulin, consume extra carbohydrates before and during exercise, and sometimes adjust their basal insulin dose.&lt;/li&gt;</w:t>
      </w:r>
    </w:p>
    <w:p>
      <w:pPr>
        <w:pStyle w:val="style0"/>
        <w:rPr/>
      </w:pPr>
      <w:r>
        <w:t xml:space="preserve">                    &lt;li&gt;&lt;strong&gt;Why others are incorrect:&lt;/strong&gt; A and C will cause severe hypoglycemia. D is dangerous because holding all insulin in Type 1 Diabetes will lead to DKA. E is incorrect because sulfonylureas are not effective in Type 1 Diabetes and should not be used.&lt;/li&gt;</w:t>
      </w:r>
    </w:p>
    <w:p>
      <w:pPr>
        <w:pStyle w:val="style0"/>
        <w:rPr/>
      </w:pPr>
      <w:r>
        <w:t xml:space="preserve">                &lt;/ul&gt;</w:t>
      </w:r>
    </w:p>
    <w:p>
      <w:pPr>
        <w:pStyle w:val="style0"/>
        <w:rPr/>
      </w:pPr>
      <w:r>
        <w:t xml:space="preserve">                &lt;div class="clinical-pearl"&gt;⭐ PEBC PEARL: Exercise increases glucose uptake through insulin-independent pathways (GLUT4 translocation). Injecting insulin into an active muscle group (like the thigh before running) increases absorption rates and should be avoided. Use the abdomen instead.&lt;/div&gt;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id="q13-box"&gt;</w:t>
      </w:r>
    </w:p>
    <w:p>
      <w:pPr>
        <w:pStyle w:val="style0"/>
        <w:rPr/>
      </w:pPr>
      <w:r>
        <w:t xml:space="preserve">            &lt;span class="badge badge-case"&gt;Clinical Case&lt;/span&gt;</w:t>
      </w:r>
    </w:p>
    <w:p>
      <w:pPr>
        <w:pStyle w:val="style0"/>
        <w:rPr/>
      </w:pPr>
      <w:r>
        <w:t xml:space="preserve">            &lt;div class="question-text"&gt;13. A 64-year-old patient with Type 2 Diabetes and chronic kidney disease (eGFR 22 mL/min/1.73m²) needs an additional agent to optimize her glycemic control. Her current A1C is 8.1% on a reduced dose of insulin. Which of the following DPP-4 inhibitors is preferred in this patient because it does not require a dose adjustment for renal impairment?&lt;/div&gt;</w:t>
      </w:r>
    </w:p>
    <w:p>
      <w:pPr>
        <w:pStyle w:val="style0"/>
        <w:rPr/>
      </w:pPr>
      <w:r>
        <w:t xml:space="preserve">            &lt;div class="options-container"&gt;</w:t>
      </w:r>
    </w:p>
    <w:p>
      <w:pPr>
        <w:pStyle w:val="style0"/>
        <w:rPr/>
      </w:pPr>
      <w:r>
        <w:t xml:space="preserve">                &lt;label class="option-label"&gt;&lt;input type="radio" name="q13" value="A"&gt; A) Sitagliptin&lt;/label&gt;</w:t>
      </w:r>
    </w:p>
    <w:p>
      <w:pPr>
        <w:pStyle w:val="style0"/>
        <w:rPr/>
      </w:pPr>
      <w:r>
        <w:t xml:space="preserve">                &lt;label class="option-label"&gt;&lt;input type="radio" name="q13" value="B"&gt; B) Saxagliptin&lt;/label&gt;</w:t>
      </w:r>
    </w:p>
    <w:p>
      <w:pPr>
        <w:pStyle w:val="style0"/>
        <w:rPr/>
      </w:pPr>
      <w:r>
        <w:t xml:space="preserve">                &lt;label class="option-label"&gt;&lt;input type="radio" name="q13" value="C"&gt; C) Linagliptin&lt;/label&gt;</w:t>
      </w:r>
    </w:p>
    <w:p>
      <w:pPr>
        <w:pStyle w:val="style0"/>
        <w:rPr/>
      </w:pPr>
      <w:r>
        <w:t xml:space="preserve">                &lt;label class="option-label"&gt;&lt;input type="radio" name="q13" value="D"&gt; D) Alogliptin&lt;/label&gt;</w:t>
      </w:r>
    </w:p>
    <w:p>
      <w:pPr>
        <w:pStyle w:val="style0"/>
        <w:rPr/>
      </w:pPr>
      <w:r>
        <w:t xml:space="preserve">                &lt;label class="option-label"&gt;&lt;input type="radio" name="q13" value="E"&gt; E) Vildagliptin&lt;/label&gt;</w:t>
      </w:r>
    </w:p>
    <w:p>
      <w:pPr>
        <w:pStyle w:val="style0"/>
        <w:rPr/>
      </w:pPr>
      <w:r>
        <w:t xml:space="preserve">            &lt;/div&gt;</w:t>
      </w:r>
    </w:p>
    <w:p>
      <w:pPr>
        <w:pStyle w:val="style0"/>
        <w:rPr/>
      </w:pPr>
      <w:r>
        <w:t xml:space="preserve">            &lt;div class="explanation-box" id="exp-q13"&gt;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Linagliptin is eliminated primarily through the biliar/fecal route, with less than 5% excreted renally. As a result, it does not require any dose adjustments across all stages of renal impairment, making it a safe choice in advanced CKD.&lt;/li&gt;</w:t>
      </w:r>
    </w:p>
    <w:p>
      <w:pPr>
        <w:pStyle w:val="style0"/>
        <w:rPr/>
      </w:pPr>
      <w:r>
        <w:t xml:space="preserve">                    &lt;li&gt;&lt;strong&gt;Why others are incorrect:&lt;/strong&gt; A, B, and D are cleared primarily by the kidneys and require specific dose reductions when the eGFR falls below 45 or 30 mL/min/1.73m². Additionally, Saxagliptin should be avoided in patients with heart failure.&lt;/li&gt;</w:t>
      </w:r>
    </w:p>
    <w:p>
      <w:pPr>
        <w:pStyle w:val="style0"/>
        <w:rPr/>
      </w:pPr>
      <w:r>
        <w:t xml:space="preserve">                &lt;/ul&gt;</w:t>
      </w:r>
    </w:p>
    <w:p>
      <w:pPr>
        <w:pStyle w:val="style0"/>
        <w:rPr/>
      </w:pPr>
      <w:r>
        <w:t xml:space="preserve">                &lt;div class="clinical-pearl"&gt;⭐ PEBC PEARL: Linagliptin is the 'renal-safe' choice among DPP-4 inhibitors, requiring no dose adjustments even in end-stage renal disease or dialysis.&lt;/div&gt;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id="q14-box"&gt;</w:t>
      </w:r>
    </w:p>
    <w:p>
      <w:pPr>
        <w:pStyle w:val="style0"/>
        <w:rPr/>
      </w:pPr>
      <w:r>
        <w:t xml:space="preserve">            &lt;span class="badge badge-case"&gt;Clinical Case&lt;/span&gt;</w:t>
      </w:r>
    </w:p>
    <w:p>
      <w:pPr>
        <w:pStyle w:val="style0"/>
        <w:rPr/>
      </w:pPr>
      <w:r>
        <w:t xml:space="preserve">            &lt;div class="question-text"&gt;14. A 52-year-old male with Type 2 Diabetes is started on Semaglutide subcutaneous injections once weekly. He returns to the pharmacy 2 weeks later complaining of significant nausea and occasional early morning vomiting. He wants to stop the medication. What is the most appropriate counseling approach?&lt;/div&gt;</w:t>
      </w:r>
    </w:p>
    <w:p>
      <w:pPr>
        <w:pStyle w:val="style0"/>
        <w:rPr/>
      </w:pPr>
      <w:r>
        <w:t xml:space="preserve">            &lt;div class="options-container"&gt;</w:t>
      </w:r>
    </w:p>
    <w:p>
      <w:pPr>
        <w:pStyle w:val="style0"/>
        <w:rPr/>
      </w:pPr>
      <w:r>
        <w:t xml:space="preserve">                &lt;label class="option-label"&gt;&lt;input type="radio" name="q14" value="A"&gt; A) Advise him to stop the drug immediately as this indicates severe acute pancreatitis.&lt;/label&gt;</w:t>
      </w:r>
    </w:p>
    <w:p>
      <w:pPr>
        <w:pStyle w:val="style0"/>
        <w:rPr/>
      </w:pPr>
      <w:r>
        <w:t xml:space="preserve">                &lt;label class="option-label"&gt;&lt;input type="radio" name="q14" value="B"&gt; B) Reassure him that GI side effects are common and typically resolve within 4 to 8 weeks; advise eating smaller meals and ensuring he is using the correct starting dose titration.&lt;/label&gt;</w:t>
      </w:r>
    </w:p>
    <w:p>
      <w:pPr>
        <w:pStyle w:val="style0"/>
        <w:rPr/>
      </w:pPr>
      <w:r>
        <w:t xml:space="preserve">                &lt;label class="option-label"&gt;&lt;input type="radio" name="q14" value="C"&gt; C) Switch him to immediate-release Metformin 1000 mg BID taken on an empty stomach.&lt;/label&gt;</w:t>
      </w:r>
    </w:p>
    <w:p>
      <w:pPr>
        <w:pStyle w:val="style0"/>
        <w:rPr/>
      </w:pPr>
      <w:r>
        <w:t xml:space="preserve">                &lt;label class="option-label"&gt;&lt;input type="radio" name="q14" value="D"&gt; D) Tell him to double his dose next week to get past the initial tolerance threshold more quickly.&lt;/label&gt;</w:t>
      </w:r>
    </w:p>
    <w:p>
      <w:pPr>
        <w:pStyle w:val="style0"/>
        <w:rPr/>
      </w:pPr>
      <w:r>
        <w:t xml:space="preserve">                &lt;label class="option-label"&gt;&lt;input type="radio" name="q14" value="E"&gt; E) Advise him to take an NSAID 30 minutes before each injection to manage the symptoms.&lt;/label&gt;</w:t>
      </w:r>
    </w:p>
    <w:p>
      <w:pPr>
        <w:pStyle w:val="style0"/>
        <w:rPr/>
      </w:pPr>
      <w:r>
        <w:t xml:space="preserve">            &lt;/div&gt;</w:t>
      </w:r>
    </w:p>
    <w:p>
      <w:pPr>
        <w:pStyle w:val="style0"/>
        <w:rPr/>
      </w:pPr>
      <w:r>
        <w:t xml:space="preserve">            &lt;div class="explanation-box" id="exp-q14"&gt;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Gastrointestinal side effects (nausea, vomiting, diarrhea) are common with GLP-1 receptor agonists due to their effect on slowing gastric emptying. These symptoms are usually dose-dependent and decrease over time. Counseling should focus on proper dose titration, eating smaller portions, and stopping when full.&lt;/li&gt;</w:t>
      </w:r>
    </w:p>
    <w:p>
      <w:pPr>
        <w:pStyle w:val="style0"/>
        <w:rPr/>
      </w:pPr>
      <w:r>
        <w:t xml:space="preserve">                    &lt;li&gt;&lt;strong&gt;Why others are incorrect:&lt;/strong&gt; A is an overreaction unless he presents with severe, persistent abdominal pain that radiates to the back, which are the classic signs of acute pancreatitis. C and D will worsen his gastrointestinal symptoms. E is ineffective because NSAIDs do not treat GLP-1-induced delayed gastric emptying.&lt;/li&gt;</w:t>
      </w:r>
    </w:p>
    <w:p>
      <w:pPr>
        <w:pStyle w:val="style0"/>
        <w:rPr/>
      </w:pPr>
      <w:r>
        <w:t xml:space="preserve">                &lt;/ul&gt;</w:t>
      </w:r>
    </w:p>
    <w:p>
      <w:pPr>
        <w:pStyle w:val="style0"/>
        <w:rPr/>
      </w:pPr>
      <w:r>
        <w:t xml:space="preserve">                &lt;div class="clinical-pearl"&gt;⭐ PEBC PEARL: To improve tolerability with GLP-1 receptor agonists, always start at the lowest dose (e.g., Semaglutide 0.25 mg once weekly) for at least 4 weeks before increasing the dose. Encourage patients to eat slowly and avoid high-fat foods during initiation.&lt;/div&gt;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id="q15-box"&gt;</w:t>
      </w:r>
    </w:p>
    <w:p>
      <w:pPr>
        <w:pStyle w:val="style0"/>
        <w:rPr/>
      </w:pPr>
      <w:r>
        <w:t xml:space="preserve">            &lt;span class="badge badge-case"&gt;Clinical Case&lt;/span&gt;</w:t>
      </w:r>
    </w:p>
    <w:p>
      <w:pPr>
        <w:pStyle w:val="style0"/>
        <w:rPr/>
      </w:pPr>
      <w:r>
        <w:t xml:space="preserve">            &lt;div class="question-text"&gt;15. A 45-year-old male presents to your pharmacy with a new prescription for Rosuvastatin 10 mg daily. While reviewing his profile, you notice he has a 10-year history of Type 2 Diabetes but no other documented medical conditions. His latest lab results show an LDL cholesterol of 1.9 mmol/L and blood pressure of 124/76 mmHg. What is the clinical rationale for starting statin therapy in this patient?&lt;/div&gt;</w:t>
      </w:r>
    </w:p>
    <w:p>
      <w:pPr>
        <w:pStyle w:val="style0"/>
        <w:rPr/>
      </w:pPr>
      <w:r>
        <w:t xml:space="preserve">            &lt;div class="options-container"&gt;</w:t>
      </w:r>
    </w:p>
    <w:p>
      <w:pPr>
        <w:pStyle w:val="style0"/>
        <w:rPr/>
      </w:pPr>
      <w:r>
        <w:t xml:space="preserve">                &lt;label class="option-label"&gt;&lt;input type="radio" name="q15" value="A"&gt; A) He does not need a statin because his LDL is already below the standard target of 2.0 mmol/L.&lt;/label&gt;</w:t>
      </w:r>
    </w:p>
    <w:p>
      <w:pPr>
        <w:pStyle w:val="style0"/>
        <w:rPr/>
      </w:pPr>
      <w:r>
        <w:t xml:space="preserve">                &lt;label class="option-label"&gt;&lt;input type="radio" name="q15" value="B"&gt; B) Diabetes Canada guidelines state that adults over 40 with diabetes should receive statin therapy for primary cardiovascular prevention, regardless of baseline LDL levels.&lt;/label&gt;</w:t>
      </w:r>
    </w:p>
    <w:p>
      <w:pPr>
        <w:pStyle w:val="style0"/>
        <w:rPr/>
      </w:pPr>
      <w:r>
        <w:t xml:space="preserve">                &lt;label class="option-label"&gt;&lt;input type="radio" name="q15" value="C"&gt; C) Statins help improve insulin sensitivity and lower A1C levels.&lt;/label&gt;</w:t>
      </w:r>
    </w:p>
    <w:p>
      <w:pPr>
        <w:pStyle w:val="style0"/>
        <w:rPr/>
      </w:pPr>
      <w:r>
        <w:t xml:space="preserve">                &lt;label class="option-label"&gt;&lt;input type="radio" name="q15" value="D"&gt; D) Statins are used to protect kidney function by directly reducing microalbuminuria.&lt;/label&gt;</w:t>
      </w:r>
    </w:p>
    <w:p>
      <w:pPr>
        <w:pStyle w:val="style0"/>
        <w:rPr/>
      </w:pPr>
      <w:r>
        <w:t xml:space="preserve">                &lt;label class="option-label"&gt;&lt;input type="radio" name="q15" value="E"&gt; E) The statin is being used to manage his blood pressure.&lt;/label&gt;</w:t>
      </w:r>
    </w:p>
    <w:p>
      <w:pPr>
        <w:pStyle w:val="style0"/>
        <w:rPr/>
      </w:pPr>
      <w:r>
        <w:t xml:space="preserve">            &lt;/div&gt;</w:t>
      </w:r>
    </w:p>
    <w:p>
      <w:pPr>
        <w:pStyle w:val="style0"/>
        <w:rPr/>
      </w:pPr>
      <w:r>
        <w:t xml:space="preserve">            &lt;div class="explanation-box" id="exp-q15"&gt;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According to Diabetes Canada guidelines, statin therapy is indicated for primary prevention in individuals with diabetes who are &amp;ge;40 years old, or who have had diabetes for &gt;15 years (or &gt;20 years in Type 1), or who have microvascular complications, regardless of their baseline LDL cholesterol. This patient meets the age criteria (&amp;ge;40 years old).&lt;/li&gt;</w:t>
      </w:r>
    </w:p>
    <w:p>
      <w:pPr>
        <w:pStyle w:val="style0"/>
        <w:rPr/>
      </w:pPr>
      <w:r>
        <w:t xml:space="preserve">                    &lt;li&gt;&lt;strong&gt;Why others are incorrect:&lt;/strong&gt; A is incorrect because the target for patients with diabetes on statin therapy is either an LDL &lt; 2.0 mmol/L or a &amp;ge;50% reduction from baseline, and the decision to start therapy is based on risk rather than baseline LDL alone. C is incorrect as statins can occasionally cause minor increases in blood glucose, though the cardiovascular benefits far outweigh this small risk. D and E are incorrect because statins do not directly treat microalbuminuria or hypertension.&lt;/li&gt;</w:t>
      </w:r>
    </w:p>
    <w:p>
      <w:pPr>
        <w:pStyle w:val="style0"/>
        <w:rPr/>
      </w:pPr>
      <w:r>
        <w:t xml:space="preserve">                &lt;/ul&gt;</w:t>
      </w:r>
    </w:p>
    <w:p>
      <w:pPr>
        <w:pStyle w:val="style0"/>
        <w:rPr/>
      </w:pPr>
      <w:r>
        <w:t xml:space="preserve">                &lt;div class="clinical-pearl"&gt;⭐ PEBC PEARL: Diabetes is considered a cardiovascular risk equivalent. Statin therapy is automatically indicated for patients with diabetes based on age (&amp;ge;40), duration of disease, or the presence of macrovascular/microvascular complications, independent of baseline lipid panels.&lt;/div&gt;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id="q16-box"&gt;</w:t>
      </w:r>
    </w:p>
    <w:p>
      <w:pPr>
        <w:pStyle w:val="style0"/>
        <w:rPr/>
      </w:pPr>
      <w:r>
        <w:t xml:space="preserve">            &lt;span class="badge badge-case"&gt;Clinical Case&lt;/span&gt;</w:t>
      </w:r>
    </w:p>
    <w:p>
      <w:pPr>
        <w:pStyle w:val="style0"/>
        <w:rPr/>
      </w:pPr>
      <w:r>
        <w:t xml:space="preserve">            &lt;div class="question-text"&gt;16. A 23-year-old female with Type 1 Diabetes is admitted with severe Diabetic Ketoacidosis (DKA). The medical team starts an IV infusion of regular insulin and aggressive fluid resuscitation with 0.9% NaCl. After several hours, her plasma glucose drops to 13.4 mmol/L, but her serum bicarbonate remains low at 13 mmol/L and serum ketones are still positive. What is the most appropriate next step in managing her fluids and insulin?&lt;/div&gt;</w:t>
      </w:r>
    </w:p>
    <w:p>
      <w:pPr>
        <w:pStyle w:val="style0"/>
        <w:rPr/>
      </w:pPr>
      <w:r>
        <w:t xml:space="preserve">            &lt;div class="options-container"&gt;</w:t>
      </w:r>
    </w:p>
    <w:p>
      <w:pPr>
        <w:pStyle w:val="style0"/>
        <w:rPr/>
      </w:pPr>
      <w:r>
        <w:t xml:space="preserve">                &lt;label class="option-label"&gt;&lt;input type="radio" name="q16" value="A"&gt; A) Discontinue the IV insulin infusion immediately to prevent severe hypoglycemia.&lt;/label&gt;</w:t>
      </w:r>
    </w:p>
    <w:p>
      <w:pPr>
        <w:pStyle w:val="style0"/>
        <w:rPr/>
      </w:pPr>
      <w:r>
        <w:t xml:space="preserve">                &lt;label class="option-label"&gt;&lt;input type="radio" name="q16" value="B"&gt; B) Reduce the IV fluid rate and switch her to long-acting NPH insulin subcutaneously.&lt;/label&gt;</w:t>
      </w:r>
    </w:p>
    <w:p>
      <w:pPr>
        <w:pStyle w:val="style0"/>
        <w:rPr/>
      </w:pPr>
      <w:r>
        <w:t xml:space="preserve">                &lt;label class="option-label"&gt;&lt;input type="radio" name="q16" value="C"&gt; C) Maintain the IV insulin infusion to continue clearing ketones, and change the IV fluids to a glucose-containing solution (e.g., D5W or D10W) to prevent hypoglycemia.&lt;/label&gt;</w:t>
      </w:r>
    </w:p>
    <w:p>
      <w:pPr>
        <w:pStyle w:val="style0"/>
        <w:rPr/>
      </w:pPr>
      <w:r>
        <w:t xml:space="preserve">                &lt;label class="option-label"&gt;&lt;input type="radio" name="q16" value="D"&gt; D) Increase the IV regular insulin infusion rate and continue using 0.9% NaCl fluids without glucose.&lt;/label&gt;</w:t>
      </w:r>
    </w:p>
    <w:p>
      <w:pPr>
        <w:pStyle w:val="style0"/>
        <w:rPr/>
      </w:pPr>
      <w:r>
        <w:t xml:space="preserve">                &lt;label class="option-label"&gt;&lt;input type="radio" name="q16" value="E"&gt; E) Administer IV boluses of rapid-acting insulin analogues every 30 minutes.&lt;/label&gt;</w:t>
      </w:r>
    </w:p>
    <w:p>
      <w:pPr>
        <w:pStyle w:val="style0"/>
        <w:rPr/>
      </w:pPr>
      <w:r>
        <w:t xml:space="preserve">            &lt;/div&gt;</w:t>
      </w:r>
    </w:p>
    <w:p>
      <w:pPr>
        <w:pStyle w:val="style0"/>
        <w:rPr/>
      </w:pPr>
      <w:r>
        <w:t xml:space="preserve">            &lt;div class="explanation-box" id="exp-q16"&gt;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In the management of DKA, blood glucose typically drops faster than the ketoacidosis resolves. The IV insulin infusion must be maintained until the ketoacidosis is fully cleared (defined as a bicarbonate &amp;ge;18 mmol/L, pH &gt;7.3, and an anion gap within the normal range). When blood glucose falls below 11–14 mmol/L, dextrose (D5W or D10W) must be added to the IV fluids to prevent hypoglycemia while allowing the insulin infusion to continue running at a rate sufficient to suppress ketogenesis.&lt;/li&gt;</w:t>
      </w:r>
    </w:p>
    <w:p>
      <w:pPr>
        <w:pStyle w:val="style0"/>
        <w:rPr/>
      </w:pPr>
      <w:r>
        <w:t xml:space="preserve">                    &lt;li&gt;&lt;strong&gt;Why others are incorrect:&lt;/strong&gt; A will cause rebound ketosis because the underlying ketoacidosis has not yet resolved. B is incorrect as the patient does not meet the criteria to transition to subcutaneous insulin. D increases the risk of severe hypoglycemia and cerebral edema by lowering blood glucose too quickly without addressing the underlying metabolic requirement for glucose substrate. E is incorrect as continuous IV regular insulin is the standard of care.&lt;/li&gt;</w:t>
      </w:r>
    </w:p>
    <w:p>
      <w:pPr>
        <w:pStyle w:val="style0"/>
        <w:rPr/>
      </w:pPr>
      <w:r>
        <w:t xml:space="preserve">                &lt;/ul&gt;</w:t>
      </w:r>
    </w:p>
    <w:p>
      <w:pPr>
        <w:pStyle w:val="style0"/>
        <w:rPr/>
      </w:pPr>
      <w:r>
        <w:t xml:space="preserve">                &lt;div class="clinical-pearl"&gt;⭐ PEBC PEARL: Do not stop the insulin infusion in DKA management just because the blood glucose has normalized! Insulin is required to turn off ketogenesis. Use IV dextrose as a substrate to prevent hypoglycemia while the insulin works to resolve the acidosis.&lt;/div&gt;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id="q17-box"&gt;</w:t>
      </w:r>
    </w:p>
    <w:p>
      <w:pPr>
        <w:pStyle w:val="style0"/>
        <w:rPr/>
      </w:pPr>
      <w:r>
        <w:t xml:space="preserve">            &lt;span class="badge badge-case"&gt;Clinical Case&lt;/span&gt;</w:t>
      </w:r>
    </w:p>
    <w:p>
      <w:pPr>
        <w:pStyle w:val="style0"/>
        <w:rPr/>
      </w:pPr>
      <w:r>
        <w:t xml:space="preserve">            &lt;div class="question-text"&gt;17. A 61-year-old male with a history of severe chronic obstructive pulmonary disease (COPD) is prescribed a high-dose, 14-day tapering course of oral Prednisone (starting at 50 mg daily) for an acute exacerbation. He also has Type 2 Diabetes managed with Metformin. Which pattern of glycemic disruption is the pharmacist most likely to observe during this corticosteroid therapy?&lt;/div&gt;</w:t>
      </w:r>
    </w:p>
    <w:p>
      <w:pPr>
        <w:pStyle w:val="style0"/>
        <w:rPr/>
      </w:pPr>
      <w:r>
        <w:t xml:space="preserve">            &lt;div class="options-container"&gt;</w:t>
      </w:r>
    </w:p>
    <w:p>
      <w:pPr>
        <w:pStyle w:val="style0"/>
        <w:rPr/>
      </w:pPr>
      <w:r>
        <w:t xml:space="preserve">                &lt;label class="option-label"&gt;&lt;input type="radio" name="q17" value="A"&gt; A) Severe fasting hypoglycemia in the early morning.&lt;/label&gt;</w:t>
      </w:r>
    </w:p>
    <w:p>
      <w:pPr>
        <w:pStyle w:val="style0"/>
        <w:rPr/>
      </w:pPr>
      <w:r>
        <w:t xml:space="preserve">                &lt;label class="option-label"&gt;&lt;input type="radio" name="q17" value="B"&gt; B) Marked postprandial (post-meal) hyperglycemia occurring predominantly in the afternoon and evening, with relatively stable fasting glucose levels.&lt;/label&gt;</w:t>
      </w:r>
    </w:p>
    <w:p>
      <w:pPr>
        <w:pStyle w:val="style0"/>
        <w:rPr/>
      </w:pPr>
      <w:r>
        <w:t xml:space="preserve">                &lt;label class="option-label"&gt;&lt;input type="radio" name="q17" value="C"&gt; C) Sustained, stable elevations in blood glucose across all 24 hours of the day, unaffected by meals.&lt;/label&gt;</w:t>
      </w:r>
    </w:p>
    <w:p>
      <w:pPr>
        <w:pStyle w:val="style0"/>
        <w:rPr/>
      </w:pPr>
      <w:r>
        <w:t xml:space="preserve">                &lt;label class="option-label"&gt;&lt;input type="radio" name="q17" value="D"&gt; D) Glucocorticoid-induced destruction of pancreatic beta cells, leading to a permanent shift to Type 1 Diabetes.&lt;/label&gt;</w:t>
      </w:r>
    </w:p>
    <w:p>
      <w:pPr>
        <w:pStyle w:val="style0"/>
        <w:rPr/>
      </w:pPr>
      <w:r>
        <w:t xml:space="preserve">                &lt;label class="option-label"&gt;&lt;input type="radio" name="q17" value="E"&gt; E) Significant drop in A1C due to increased renal excretion of glucose.&lt;/label&gt;</w:t>
      </w:r>
    </w:p>
    <w:p>
      <w:pPr>
        <w:pStyle w:val="style0"/>
        <w:rPr/>
      </w:pPr>
      <w:r>
        <w:t xml:space="preserve">            &lt;/div&gt;</w:t>
      </w:r>
    </w:p>
    <w:p>
      <w:pPr>
        <w:pStyle w:val="style0"/>
        <w:rPr/>
      </w:pPr>
      <w:r>
        <w:t xml:space="preserve">            &lt;div class="explanation-box" id="exp-q17"&gt;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Exogenous glucocorticoids primarily increase postprandial insulin resistance and enhance hepatic gluconeogenesis in a pattern that matches the pharmacokinetics of oral prednisone. When taken as a single morning dose, prednisone causes blood glucose levels to rise starting in the late morning, leading to significant hyperglycemia in the afternoon and evening, while fasting glucose levels the next morning often remain near baseline.&lt;/li&gt;</w:t>
      </w:r>
    </w:p>
    <w:p>
      <w:pPr>
        <w:pStyle w:val="style0"/>
        <w:rPr/>
      </w:pPr>
      <w:r>
        <w:t xml:space="preserve">                    &lt;li&gt;&lt;strong&gt;Why others are incorrect:&lt;/strong&gt; A is incorrect because steroids cause hyperglycemia, not hypoglycemia. C is incorrect because the effect of a morning dose of prednisone is not uniform across a 24-hour period. D is incorrect as steroid-induced diabetes is driven by insulin resistance rather than autoimmune beta-cell destruction. E is incorrect because steroids raise blood glucose and A1C levels.&lt;/li&gt;</w:t>
      </w:r>
    </w:p>
    <w:p>
      <w:pPr>
        <w:pStyle w:val="style0"/>
        <w:rPr/>
      </w:pPr>
      <w:r>
        <w:t xml:space="preserve">                &lt;/ul&gt;</w:t>
      </w:r>
    </w:p>
    <w:p>
      <w:pPr>
        <w:pStyle w:val="style0"/>
        <w:rPr/>
      </w:pPr>
      <w:r>
        <w:t xml:space="preserve">                &lt;div class="clinical-pearl"&gt;⭐ PEBC PEARL: When adjusting insulin for patients on once-daily morning steroids, an intermediate-acting insulin (like NPH) given in the morning can be useful because its onset and peak action (4–8 hours) align with the period of steroid-induced hyperglycemia.&lt;/div&gt;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id="q18-box"&gt;</w:t>
      </w:r>
    </w:p>
    <w:p>
      <w:pPr>
        <w:pStyle w:val="style0"/>
        <w:rPr/>
      </w:pPr>
      <w:r>
        <w:t xml:space="preserve">            &lt;span class="badge badge-case"&gt;Clinical Case&lt;/span&gt;</w:t>
      </w:r>
    </w:p>
    <w:p>
      <w:pPr>
        <w:pStyle w:val="style0"/>
        <w:rPr/>
      </w:pPr>
      <w:r>
        <w:t xml:space="preserve">            &lt;div class="question-text"&gt;18. A 34-year-old female in her 25th week of pregnancy undergoes a 75g Oral Glucose Tolerance Test (OGTT) for gestational diabetes screening. The laboratory results return as follows: Fasting Plasma Glucose = 5.4 mmol/L; 1-Hour Plasma Glucose = 10.2 mmol/L; 2-Hour Plasma Glucose = 8.6 mmol/L. According to Diabetes Canada criteria, what is her diagnosis and the appropriate next step?&lt;/div&gt;</w:t>
      </w:r>
    </w:p>
    <w:p>
      <w:pPr>
        <w:pStyle w:val="style0"/>
        <w:rPr/>
      </w:pPr>
      <w:r>
        <w:t xml:space="preserve">            &lt;div class="options-container"&gt;</w:t>
      </w:r>
    </w:p>
    <w:p>
      <w:pPr>
        <w:pStyle w:val="style0"/>
        <w:rPr/>
      </w:pPr>
      <w:r>
        <w:t xml:space="preserve">                &lt;label class="option-label"&gt;&lt;input type="radio" name="q18" value="A"&gt; A) Normal pregnancy values; reassure the patient and repeat testing in the third trimester.&lt;/label&gt;</w:t>
      </w:r>
    </w:p>
    <w:p>
      <w:pPr>
        <w:pStyle w:val="style0"/>
        <w:rPr/>
      </w:pPr>
      <w:r>
        <w:t xml:space="preserve">                &lt;label class="option-label"&gt;&lt;input type="radio" name="q18" value="B"&gt; B) Impaired Glucose Tolerance (IGT); initiate Sitagliptin 50 mg once daily immediately.&lt;/label&gt;</w:t>
      </w:r>
    </w:p>
    <w:p>
      <w:pPr>
        <w:pStyle w:val="style0"/>
        <w:rPr/>
      </w:pPr>
      <w:r>
        <w:t xml:space="preserve">                &lt;label class="option-label"&gt;&lt;input type="radio" name="q18" value="C"&gt; C) Gestational Diabetes Mellitus (GDM); initiate nutritional counseling and lifestyle modifications as initial therapy.&lt;/label&gt;</w:t>
      </w:r>
    </w:p>
    <w:p>
      <w:pPr>
        <w:pStyle w:val="style0"/>
        <w:rPr/>
      </w:pPr>
      <w:r>
        <w:t xml:space="preserve">                &lt;label class="option-label"&gt;&lt;input type="radio" name="q18" value="D"&gt; D) Overt Type 2 Diabetes; initiate high-dose basal-bolus insulin therapy within 24 hours.&lt;/label&gt;</w:t>
      </w:r>
    </w:p>
    <w:p>
      <w:pPr>
        <w:pStyle w:val="style0"/>
        <w:rPr/>
      </w:pPr>
      <w:r>
        <w:t xml:space="preserve">                &lt;label class="option-label"&gt;&lt;input type="radio" name="q18" value="E"&gt; E) Pre-diabetes; recommend a low-carbohydrate keto diet for the remainder of the pregnancy.&lt;/label&gt;</w:t>
      </w:r>
    </w:p>
    <w:p>
      <w:pPr>
        <w:pStyle w:val="style0"/>
        <w:rPr/>
      </w:pPr>
      <w:r>
        <w:t xml:space="preserve">            &lt;/div&gt;</w:t>
      </w:r>
    </w:p>
    <w:p>
      <w:pPr>
        <w:pStyle w:val="style0"/>
        <w:rPr/>
      </w:pPr>
      <w:r>
        <w:t xml:space="preserve">            &lt;div class="explanation-box" id="exp-q18"&gt;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Under Diabetes Canada criteria using the preferred 75g OGTT step-1 protocol, Gestational Diabetes (GDM) is diagnosed if any single value is met or exceeded: Fasting &amp;ge; 5.3 mmol/L, 1-Hour &amp;ge; 10.6 mmol/L, or 2-Hour &amp;ge; 8.9 mmol/L. This patient's fasting glucose of 5.4 mmol/L confirms a diagnosis of GDM. The initial management for GDM involves nutritional therapy and lifestyle modifications for 1–2 weeks before considering pharmacotherapy if targets are not met.&lt;/li&gt;</w:t>
      </w:r>
    </w:p>
    <w:p>
      <w:pPr>
        <w:pStyle w:val="style0"/>
        <w:rPr/>
      </w:pPr>
      <w:r>
        <w:t xml:space="preserve">                    &lt;li&gt;&lt;strong&gt;Why others are incorrect:&lt;/strong&gt; A is incorrect because her fasting glucose is elevated. B is incorrect because DPP-4 inhibitors like Sitagliptin are not approved or safe for use during pregnancy. D is incorrect because her values indicate gestational diabetes rather than overt pre-existing diabetes, and lifestyle modifications are the appropriate initial step. E is incorrect because strict ketogenic diets are unsafe during pregnancy due to the risks associated with ketosis for fetal development.&lt;/li&gt;</w:t>
      </w:r>
    </w:p>
    <w:p>
      <w:pPr>
        <w:pStyle w:val="style0"/>
        <w:rPr/>
      </w:pPr>
      <w:r>
        <w:t xml:space="preserve">                &lt;/ul&gt;</w:t>
      </w:r>
    </w:p>
    <w:p>
      <w:pPr>
        <w:pStyle w:val="style0"/>
        <w:rPr/>
      </w:pPr>
      <w:r>
        <w:t xml:space="preserve">                &lt;div class="clinical-pearl"&gt;⭐ PEBC PEARL: Remember the diagnostic cut-offs for GDM using the 75g OGTT: 5.3 / 10.6 / 8.9 mmol/L. Meeting or exceeding any one of these values establishes the diagnosis. If lifestyle changes do not achieve glycemic targets within 2 weeks, insulin is the preferred option.&lt;/div&gt;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id="q19-box"&gt;</w:t>
      </w:r>
    </w:p>
    <w:p>
      <w:pPr>
        <w:pStyle w:val="style0"/>
        <w:rPr/>
      </w:pPr>
      <w:r>
        <w:t xml:space="preserve">            &lt;span class="badge badge-case"&gt;Clinical Case&lt;/span&gt;</w:t>
      </w:r>
    </w:p>
    <w:p>
      <w:pPr>
        <w:pStyle w:val="style0"/>
        <w:rPr/>
      </w:pPr>
      <w:r>
        <w:t xml:space="preserve">            &lt;div class="question-text"&gt;19. A 49-year-old male with Type 2 Diabetes has been taking Metformin 1000 mg BID for 6 months. His A1C remains elevated at 8.4%. He has a past medical history significant for a leg amputation following a severe accident, and he has been diagnosed with advanced peripheral arterial disease (PAD). Which of the following antidiabetic agents should be used with caution or avoided due to clinical trial data showing an increased risk of lower-limb amputations?&lt;/div&gt;</w:t>
      </w:r>
    </w:p>
    <w:p>
      <w:pPr>
        <w:pStyle w:val="style0"/>
        <w:rPr/>
      </w:pPr>
      <w:r>
        <w:t xml:space="preserve">            &lt;div class="options-container"&gt;</w:t>
      </w:r>
    </w:p>
    <w:p>
      <w:pPr>
        <w:pStyle w:val="style0"/>
        <w:rPr/>
      </w:pPr>
      <w:r>
        <w:t xml:space="preserve">                &lt;label class="option-label"&gt;&lt;input type="radio" name="q19" value="A"&gt; A) Empagliflozin&lt;/label&gt;</w:t>
      </w:r>
    </w:p>
    <w:p>
      <w:pPr>
        <w:pStyle w:val="style0"/>
        <w:rPr/>
      </w:pPr>
      <w:r>
        <w:t xml:space="preserve">                &lt;label class="option-label"&gt;&lt;input type="radio" name="q19" value="B"&gt; B) Canagliflozin&lt;/label&gt;</w:t>
      </w:r>
    </w:p>
    <w:p>
      <w:pPr>
        <w:pStyle w:val="style0"/>
        <w:rPr/>
      </w:pPr>
      <w:r>
        <w:t xml:space="preserve">                &lt;label class="option-label"&gt;&lt;input type="radio" name="q19" value="C"&gt; C) Liraglutide&lt;/label&gt;</w:t>
      </w:r>
    </w:p>
    <w:p>
      <w:pPr>
        <w:pStyle w:val="style0"/>
        <w:rPr/>
      </w:pPr>
      <w:r>
        <w:t xml:space="preserve">                &lt;label class="option-label"&gt;&lt;input type="radio" name="q19" value="D"&gt; D) Dulaglutide&lt;/label&gt;</w:t>
      </w:r>
    </w:p>
    <w:p>
      <w:pPr>
        <w:pStyle w:val="style0"/>
        <w:rPr/>
      </w:pPr>
      <w:r>
        <w:t xml:space="preserve">                &lt;label class="option-label"&gt;&lt;input type="radio" name="q19" value="E"&gt; E) Sitagliptin&lt;/label&gt;</w:t>
      </w:r>
    </w:p>
    <w:p>
      <w:pPr>
        <w:pStyle w:val="style0"/>
        <w:rPr/>
      </w:pPr>
      <w:r>
        <w:t xml:space="preserve">            &lt;/div&gt;</w:t>
      </w:r>
    </w:p>
    <w:p>
      <w:pPr>
        <w:pStyle w:val="style0"/>
        <w:rPr/>
      </w:pPr>
      <w:r>
        <w:t xml:space="preserve">            &lt;div class="explanation-box" id="exp-q19"&gt;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Data from the CANVAS clinical trial program for Canagliflozin showed a statistically significant increase in the risk of lower-limb amputations (primarily toes and midfoot) in patients randomized to receive the drug. While this risk has not been as clearly demonstrated in trials for other SGLT2 inhibitors, clinical guidelines advise caution when using Canagliflozin in patients with a history of amputation, severe peripheral vascular disease, or active foot ulcers.&lt;/li&gt;</w:t>
      </w:r>
    </w:p>
    <w:p>
      <w:pPr>
        <w:pStyle w:val="style0"/>
        <w:rPr/>
      </w:pPr>
      <w:r>
        <w:t xml:space="preserve">                    &lt;li&gt;&lt;strong&gt;Why others are incorrect:&lt;/strong&gt; A, C, D, and E have not shown an increased risk of amputation in their respective cardiovascular outcome trials (such as EMPA-REG, LEADER, or REWIND), making them safer alternatives for this patient.&lt;/li&gt;</w:t>
      </w:r>
    </w:p>
    <w:p>
      <w:pPr>
        <w:pStyle w:val="style0"/>
        <w:rPr/>
      </w:pPr>
      <w:r>
        <w:t xml:space="preserve">                &lt;/ul&gt;</w:t>
      </w:r>
    </w:p>
    <w:p>
      <w:pPr>
        <w:pStyle w:val="style0"/>
        <w:rPr/>
      </w:pPr>
      <w:r>
        <w:t xml:space="preserve">                &lt;div class="clinical-pearl"&gt;⭐ PEBC PEARL: For a patient with an active foot ulcer or a history of lower-limb amputations, it is prudent to avoid Canagliflozin. Other options with proven cardiovascular benefits, such as Empagliflozin or GLP-1 receptor agonists like Liraglutide or Semaglutide, are preferred.&lt;/div&gt;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id="q20-box"&gt;</w:t>
      </w:r>
    </w:p>
    <w:p>
      <w:pPr>
        <w:pStyle w:val="style0"/>
        <w:rPr/>
      </w:pPr>
      <w:r>
        <w:t xml:space="preserve">            &lt;span class="badge badge-case"&gt;Clinical Case&lt;/span&gt;</w:t>
      </w:r>
    </w:p>
    <w:p>
      <w:pPr>
        <w:pStyle w:val="style0"/>
        <w:rPr/>
      </w:pPr>
      <w:r>
        <w:t xml:space="preserve">            &lt;div class="question-text"&gt;20. A 55-year-old patient with Type 2 Diabetes is currently taking Metformin 1000 mg BID and Gliclazide MR 60 mg daily. His A1C is 7.6%. He has recently been diagnosed with a reduced ejection fraction heart failure (HFrEF, LEF 32%). What is the most appropriate modification to his antidiabetic regimen according to Canadian consensus guidelines?&lt;/div&gt;</w:t>
      </w:r>
    </w:p>
    <w:p>
      <w:pPr>
        <w:pStyle w:val="style0"/>
        <w:rPr/>
      </w:pPr>
      <w:r>
        <w:t xml:space="preserve">            &lt;div class="options-container"&gt;</w:t>
      </w:r>
    </w:p>
    <w:p>
      <w:pPr>
        <w:pStyle w:val="style0"/>
        <w:rPr/>
      </w:pPr>
      <w:r>
        <w:t xml:space="preserve">                &lt;label class="option-label"&gt;&lt;input type="radio" name="q20" value="A"&gt; A) Discontinue Metformin and start Pioglitazone 15 mg once daily.&lt;/label&gt;</w:t>
      </w:r>
    </w:p>
    <w:p>
      <w:pPr>
        <w:pStyle w:val="style0"/>
        <w:rPr/>
      </w:pPr>
      <w:r>
        <w:t xml:space="preserve">                &lt;label class="option-label"&gt;&lt;input type="radio" name="q20" value="B"&gt; B) Maintain his current regimen and add Saxagliptin 5 mg once daily.&lt;/label&gt;</w:t>
      </w:r>
    </w:p>
    <w:p>
      <w:pPr>
        <w:pStyle w:val="style0"/>
        <w:rPr/>
      </w:pPr>
      <w:r>
        <w:t xml:space="preserve">                &lt;label class="option-label"&gt;&lt;input type="radio" name="q20" value="C"&gt; C) Add an SGLT2 inhibitor (such as Empagliflozin or Dapagliflozin) to his regimen for heart failure benefit, and consider reducing or discontinuing Gliclazide to manage hypoglycemia risk.&lt;/label&gt;</w:t>
      </w:r>
    </w:p>
    <w:p>
      <w:pPr>
        <w:pStyle w:val="style0"/>
        <w:rPr/>
      </w:pPr>
      <w:r>
        <w:t xml:space="preserve">                &lt;label class="option-label"&gt;&lt;input type="radio" name="q20" value="D"&gt; D) Discontinue all oral agents and initiate intensive basal-bolus insulin therapy immediately.&lt;/label&gt;</w:t>
      </w:r>
    </w:p>
    <w:p>
      <w:pPr>
        <w:pStyle w:val="style0"/>
        <w:rPr/>
      </w:pPr>
      <w:r>
        <w:t xml:space="preserve">                &lt;label class="option-label"&gt;&lt;input type="radio" name="q20" value="E"&gt; E) Add Acarbose 50 mg TID with meals.&lt;/label&gt;</w:t>
      </w:r>
    </w:p>
    <w:p>
      <w:pPr>
        <w:pStyle w:val="style0"/>
        <w:rPr/>
      </w:pPr>
      <w:r>
        <w:t xml:space="preserve">            &lt;/div&gt;</w:t>
      </w:r>
    </w:p>
    <w:p>
      <w:pPr>
        <w:pStyle w:val="style0"/>
        <w:rPr/>
      </w:pPr>
      <w:r>
        <w:t xml:space="preserve">            &lt;div class="explanation-box" id="exp-q20"&gt;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Large clinical trials (such as DAPA-HF and EMPEROR-Reduced) have demonstrated that SGLT2 inhibitors significantly reduce cardiovascular mortality and heart failure hospitalizations in patients with HFrEF, independent of their effect on blood glucose or the presence of diabetes. Adding an SGLT2 inhibitor is a key recommendation for this patient. Because his A1C is relatively close to target (7.6%), reducing or discontinuing the sulfonylurea (Gliclazide) may be necessary to minimize the risk of hypoglycemia.&lt;/li&gt;</w:t>
      </w:r>
    </w:p>
    <w:p>
      <w:pPr>
        <w:pStyle w:val="style0"/>
        <w:rPr/>
      </w:pPr>
      <w:r>
        <w:t xml:space="preserve">                    &lt;li&gt;&lt;strong&gt;Why others are incorrect:&lt;/strong&gt; A is incorrect because Pioglitazone is contraindicated in heart failure due to the risk of fluid retention. B is incorrect because Saxagliptin has been associated with an increased risk of heart failure hospitalizations and should be avoided in this population. D is an overreaction given his current glycemic control, and E does not provide any heart failure benefits.&lt;/li&gt;</w:t>
      </w:r>
    </w:p>
    <w:p>
      <w:pPr>
        <w:pStyle w:val="style0"/>
        <w:rPr/>
      </w:pPr>
      <w:r>
        <w:t xml:space="preserve">                &lt;/ul&gt;</w:t>
      </w:r>
    </w:p>
    <w:p>
      <w:pPr>
        <w:pStyle w:val="style0"/>
        <w:rPr/>
      </w:pPr>
      <w:r>
        <w:t xml:space="preserve">                &lt;div class="clinical-pearl"&gt;⭐ PEBC PEARL: SGLT2 inhibitors (specifically Dapagliflozin and Empagliflozin) serve a dual purpose in patients with diabetes and HFrEF: they help lower blood glucose and act as foundational therapy to improve survival and reduce hospitalizations for heart failure.&lt;/div&gt;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id="q21-box"&gt;</w:t>
      </w:r>
    </w:p>
    <w:p>
      <w:pPr>
        <w:pStyle w:val="style0"/>
        <w:rPr/>
      </w:pPr>
      <w:r>
        <w:t xml:space="preserve">            &lt;span class="badge badge-case"&gt;Clinical Case&lt;/span&gt;</w:t>
      </w:r>
    </w:p>
    <w:p>
      <w:pPr>
        <w:pStyle w:val="style0"/>
        <w:rPr/>
      </w:pPr>
      <w:r>
        <w:t xml:space="preserve">            &lt;div class="question-text"&gt;21. A 62-year-old male patient with Type 2 Diabetes is admitted to the hospital with acute pancreatitis. He is stabilized, made NPO (nothing by mouth), and given IV fluids. A review of his medications shows he was taking Metformin, Sitagliptin, and Liraglutide at home. What action should the pharmacist recommend regarding his diabetes medications?&lt;/div&gt;</w:t>
      </w:r>
    </w:p>
    <w:p>
      <w:pPr>
        <w:pStyle w:val="style0"/>
        <w:rPr/>
      </w:pPr>
      <w:r>
        <w:t xml:space="preserve">            &lt;div class="options-container"&gt;</w:t>
      </w:r>
    </w:p>
    <w:p>
      <w:pPr>
        <w:pStyle w:val="style0"/>
        <w:rPr/>
      </w:pPr>
      <w:r>
        <w:t xml:space="preserve">                &lt;label class="option-label"&gt;&lt;input type="radio" name="q21" value="A"&gt; A) Restart Liraglutide as soon as he tolerates oral intake, as it protects pancreatic beta cells.&lt;/label&gt;</w:t>
      </w:r>
    </w:p>
    <w:p>
      <w:pPr>
        <w:pStyle w:val="style0"/>
        <w:rPr/>
      </w:pPr>
      <w:r>
        <w:t xml:space="preserve">                &lt;label class="option-label"&gt;&lt;input type="radio" name="q21" value="B"&gt; B) Discontinue both Sitagliptin and Liraglutide immediately and permanently; manage his blood glucose with an insulin regimen during admission.&lt;/label&gt;</w:t>
      </w:r>
    </w:p>
    <w:p>
      <w:pPr>
        <w:pStyle w:val="style0"/>
        <w:rPr/>
      </w:pPr>
      <w:r>
        <w:t xml:space="preserve">                &lt;label class="option-label"&gt;&lt;input type="radio" name="q21" value="C"&gt; C) Switch Sitagliptin to Saxagliptin to improve safety during the acute phase.&lt;/label&gt;</w:t>
      </w:r>
    </w:p>
    <w:p>
      <w:pPr>
        <w:pStyle w:val="style0"/>
        <w:rPr/>
      </w:pPr>
      <w:r>
        <w:t xml:space="preserve">                &lt;label class="option-label"&gt;&lt;input type="radio" name="q21" value="D"&gt; D) Maintain Liraglutide but hold Metformin due to the risk of pancreatitis-associated lactic acidosis.&lt;/label&gt;</w:t>
      </w:r>
    </w:p>
    <w:p>
      <w:pPr>
        <w:pStyle w:val="style0"/>
        <w:rPr/>
      </w:pPr>
      <w:r>
        <w:t xml:space="preserve">                &lt;label class="option-label"&gt;&lt;input type="radio" name="q21" value="E"&gt; E) Continue all medications as scheduled by crushing them and administering via a nasogastric tube.&lt;/label&gt;</w:t>
      </w:r>
    </w:p>
    <w:p>
      <w:pPr>
        <w:pStyle w:val="style0"/>
        <w:rPr/>
      </w:pPr>
      <w:r>
        <w:t xml:space="preserve">            &lt;/div&gt;</w:t>
      </w:r>
    </w:p>
    <w:p>
      <w:pPr>
        <w:pStyle w:val="style0"/>
        <w:rPr/>
      </w:pPr>
      <w:r>
        <w:t xml:space="preserve">            &lt;div class="explanation-box" id="exp-q21"&gt;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Both GLP-1 receptor agonists (Liraglutide) and DPP-4 inhibitors (Sitagliptin) are associated with a small but serious risk of acute pancreatitis. If pancreatitis occurs, these agents must be stopped immediately and permanently. Blood glucose should be managed using insulin during the acute hospitalization.&lt;/li&gt;</w:t>
      </w:r>
    </w:p>
    <w:p>
      <w:pPr>
        <w:pStyle w:val="style0"/>
        <w:rPr/>
      </w:pPr>
      <w:r>
        <w:t xml:space="preserve">                    &lt;li&gt;&lt;strong&gt;Why others are incorrect:&lt;/strong&gt; A, C, and E are incorrect because re-exposing a patient to GLP-1 receptor agonists or DPP-4 inhibitors after an episode of acute pancreatitis is contraindicated. D is incorrect because the incretin therapies are the primary agents that must be discontinued due to safety concerns.&lt;/li&gt;</w:t>
      </w:r>
    </w:p>
    <w:p>
      <w:pPr>
        <w:pStyle w:val="style0"/>
        <w:rPr/>
      </w:pPr>
      <w:r>
        <w:t xml:space="preserve">                &lt;/ul&gt;</w:t>
      </w:r>
    </w:p>
    <w:p>
      <w:pPr>
        <w:pStyle w:val="style0"/>
        <w:rPr/>
      </w:pPr>
      <w:r>
        <w:t xml:space="preserve">                &lt;div class="clinical-pearl"&gt;⭐ PEBC PEARL: If a patient on a GLP-1 receptor agonist or DPP-4 inhibitor develops severe, persistent abdominal pain that radiates to the back, check serum amylase and lipase levels. If pancreatitis is confirmed, stop these medications permanently and do not restart them.&lt;/div&gt;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id="q22-box"&gt;</w:t>
      </w:r>
    </w:p>
    <w:p>
      <w:pPr>
        <w:pStyle w:val="style0"/>
        <w:rPr/>
      </w:pPr>
      <w:r>
        <w:t xml:space="preserve">            &lt;span class="badge badge-case"&gt;Clinical Case&lt;/span&gt;</w:t>
      </w:r>
    </w:p>
    <w:p>
      <w:pPr>
        <w:pStyle w:val="style0"/>
        <w:rPr/>
      </w:pPr>
      <w:r>
        <w:t xml:space="preserve">            &lt;div class="question-text"&gt;22. A 38-year-old patient with an 18-year history of Type 1 Diabetes presents to the clinic with complaints of early satiety, abdominal bloating, nausea, and occasional vomiting of undigested food several hours after eating. An evaluation confirms a diagnosis of diabetic gastroparesis. Which of the following modifications is most appropriate to align his insulin therapy with his altered digestion?&lt;/div&gt;</w:t>
      </w:r>
    </w:p>
    <w:p>
      <w:pPr>
        <w:pStyle w:val="style0"/>
        <w:rPr/>
      </w:pPr>
      <w:r>
        <w:t xml:space="preserve">            &lt;div class="options-container"&gt;</w:t>
      </w:r>
    </w:p>
    <w:p>
      <w:pPr>
        <w:pStyle w:val="style0"/>
        <w:rPr/>
      </w:pPr>
      <w:r>
        <w:t xml:space="preserve">                &lt;label class="option-label"&gt;&lt;input type="radio" name="q22" value="A"&gt; A) Administer his rapid-acting insulin analogues (Lispro) 30 minutes before his meals to maximize early insulin availability.&lt;/label&gt;</w:t>
      </w:r>
    </w:p>
    <w:p>
      <w:pPr>
        <w:pStyle w:val="style0"/>
        <w:rPr/>
      </w:pPr>
      <w:r>
        <w:t xml:space="preserve">                &lt;label class="option-label"&gt;&lt;input type="radio" name="q22" value="B"&gt; B) Transition him from rapid-acting analogues to regular insulin, or administer his rapid-acting insulin immediately after the meal based on what he actually consumed, to account for delayed gastric emptying.&lt;/label&gt;</w:t>
      </w:r>
    </w:p>
    <w:p>
      <w:pPr>
        <w:pStyle w:val="style0"/>
        <w:rPr/>
      </w:pPr>
      <w:r>
        <w:t xml:space="preserve">                &lt;label class="option-label"&gt;&lt;input type="radio" name="q22" value="C"&gt; C) Add Pramlintide before meals to stimulate gastric motility.&lt;/label&gt;</w:t>
      </w:r>
    </w:p>
    <w:p>
      <w:pPr>
        <w:pStyle w:val="style0"/>
        <w:rPr/>
      </w:pPr>
      <w:r>
        <w:t xml:space="preserve">                &lt;label class="option-label"&gt;&lt;input type="radio" name="q22" value="D"&gt; D) Increase his basal Glargine dose and stop all mealtime bolus insulin.&lt;/label&gt;</w:t>
      </w:r>
    </w:p>
    <w:p>
      <w:pPr>
        <w:pStyle w:val="style0"/>
        <w:rPr/>
      </w:pPr>
      <w:r>
        <w:t xml:space="preserve">                &lt;label class="option-label"&gt;&lt;input type="radio" name="q22" value="E"&gt; E) Switch him to an oral sulfonylurea to enhance upper gastrointestinal transit.&lt;/label&gt;</w:t>
      </w:r>
    </w:p>
    <w:p>
      <w:pPr>
        <w:pStyle w:val="style0"/>
        <w:rPr/>
      </w:pPr>
      <w:r>
        <w:t xml:space="preserve">            &lt;/div&gt;</w:t>
      </w:r>
    </w:p>
    <w:p>
      <w:pPr>
        <w:pStyle w:val="style0"/>
        <w:rPr/>
      </w:pPr>
      <w:r>
        <w:t xml:space="preserve">            &lt;div class="explanation-box" id="exp-q22"&gt;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Diabetic gastroparesis is an autonomic neuropathy that causes delayed and unpredictable gastric emptying. If rapid-acting insulin is injected before a meal, its peak effect may occur before food is absorbed from the gut, leading to early postprandial hypoglycemia followed by delayed hyperglycemia. Giving regular insulin (which has a slower onset) or dosing rapid-acting insulin immediately after the meal helps better match insulin action to the delayed absorption of carbohydrates.&lt;/li&gt;</w:t>
      </w:r>
    </w:p>
    <w:p>
      <w:pPr>
        <w:pStyle w:val="style0"/>
        <w:rPr/>
      </w:pPr>
      <w:r>
        <w:t xml:space="preserve">                    &lt;li&gt;&lt;strong&gt;Why others are incorrect:&lt;/strong&gt; A increases the risk of early hypoglycemia due to the mismatch between insulin action and delayed food absorption. C is incorrect because amylin analogues delay gastric emptying further and will worsen gastroparesis symptoms. D is dangerous and will cause severe fasting hypoglycemia while leaving mealtime glucose spikes unmanaged. E is incorrect as oral sulfonylureas are ineffective in Type 1 Diabetes.&lt;/li&gt;</w:t>
      </w:r>
    </w:p>
    <w:p>
      <w:pPr>
        <w:pStyle w:val="style0"/>
        <w:rPr/>
      </w:pPr>
      <w:r>
        <w:t xml:space="preserve">                &lt;/ul&gt;</w:t>
      </w:r>
    </w:p>
    <w:p>
      <w:pPr>
        <w:pStyle w:val="style0"/>
        <w:rPr/>
      </w:pPr>
      <w:r>
        <w:t xml:space="preserve">                &lt;div class="clinical-pearl"&gt;⭐ PEBC PEARL: In advanced diabetic gastroparesis, matching the timing of insulin to carbohydrate absorption can be difficult. Dosing rapid-acting insulin after meals or using regular human insulin are useful strategies to prevent early post-meal hypoglycemia.&lt;/div&gt;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id="q23-box"&gt;</w:t>
      </w:r>
    </w:p>
    <w:p>
      <w:pPr>
        <w:pStyle w:val="style0"/>
        <w:rPr/>
      </w:pPr>
      <w:r>
        <w:t xml:space="preserve">            &lt;span class="badge badge-case"&gt;Clinical Case&lt;/span&gt;</w:t>
      </w:r>
    </w:p>
    <w:p>
      <w:pPr>
        <w:pStyle w:val="style0"/>
        <w:rPr/>
      </w:pPr>
      <w:r>
        <w:t xml:space="preserve">            &lt;div class="question-text"&gt;23. A 42-year-old female patient with a history of recurrent urinary tract infections (UTIs) is considering a treatment escalation for her Type 2 Diabetes. Her A1C is 7.7% on Metformin 1000 mg BID. She is interested in starting an SGLT2 inhibitor. What counseling point regarding the risks of this class is most appropriate for this patient?&lt;/div&gt;</w:t>
      </w:r>
    </w:p>
    <w:p>
      <w:pPr>
        <w:pStyle w:val="style0"/>
        <w:rPr/>
      </w:pPr>
      <w:r>
        <w:t xml:space="preserve">            &lt;div class="options-container"&gt;</w:t>
      </w:r>
    </w:p>
    <w:p>
      <w:pPr>
        <w:pStyle w:val="style0"/>
        <w:rPr/>
      </w:pPr>
      <w:r>
        <w:t xml:space="preserve">                &lt;label class="option-label"&gt;&lt;input type="radio" name="q23" value="A"&gt; A) SGLT2 inhibitors cause significant fluid retention and may worsen peripheral edema.&lt;/label&gt;</w:t>
      </w:r>
    </w:p>
    <w:p>
      <w:pPr>
        <w:pStyle w:val="style0"/>
        <w:rPr/>
      </w:pPr>
      <w:r>
        <w:t xml:space="preserve">                &lt;label class="option-label"&gt;&lt;input type="radio" name="q23" value="B"&gt; B) SGLT2 inhibitors increase glucose excretion in the urine, which elevates the risk of genital mycotic infections and urinary tract infections; proper hygiene and adequate hydration are important prevention strategies.&lt;/label&gt;</w:t>
      </w:r>
    </w:p>
    <w:p>
      <w:pPr>
        <w:pStyle w:val="style0"/>
        <w:rPr/>
      </w:pPr>
      <w:r>
        <w:t xml:space="preserve">                &lt;label class="option-label"&gt;&lt;input type="radio" name="q23" value="C"&gt; C) This class of medication is associated with a high risk of severe fasting hypoglycemia.&lt;/label&gt;</w:t>
      </w:r>
    </w:p>
    <w:p>
      <w:pPr>
        <w:pStyle w:val="style0"/>
        <w:rPr/>
      </w:pPr>
      <w:r>
        <w:t xml:space="preserve">                &lt;label class="option-label"&gt;&lt;input type="radio" name="q23" value="D"&gt; D) SGLT2 inhibitors can cause permanent discoloration of the teeth and skin.&lt;/label&gt;</w:t>
      </w:r>
    </w:p>
    <w:p>
      <w:pPr>
        <w:pStyle w:val="style0"/>
        <w:rPr/>
      </w:pPr>
      <w:r>
        <w:t xml:space="preserve">                &lt;label class="option-label"&gt;&lt;input type="radio" name="q23" value="E"&gt; E) These medications must be taken on an empty stomach at bedtime to reduce the risk of dizziness.&lt;/label&gt;</w:t>
      </w:r>
    </w:p>
    <w:p>
      <w:pPr>
        <w:pStyle w:val="style0"/>
        <w:rPr/>
      </w:pPr>
      <w:r>
        <w:t xml:space="preserve">            &lt;/div&gt;</w:t>
      </w:r>
    </w:p>
    <w:p>
      <w:pPr>
        <w:pStyle w:val="style0"/>
        <w:rPr/>
      </w:pPr>
      <w:r>
        <w:t xml:space="preserve">            &lt;div class="explanation-box" id="exp-q23"&gt;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SGLT2 inhibitors work by blocking glucose reabsorption in the proximal convoluted tubule of the kidney, leading to increased glucose excretion in the urine (glycosuria). This glucose-rich environment in the urinary tract increases the risk of genital mycotic infections (such as vulvovaginitis or balanitis) and urinary tract infections. Counseling on perineal hygiene and hydration is essential.&lt;/li&gt;</w:t>
      </w:r>
    </w:p>
    <w:p>
      <w:pPr>
        <w:pStyle w:val="style0"/>
        <w:rPr/>
      </w:pPr>
      <w:r>
        <w:t xml:space="preserve">                    &lt;li&gt;&lt;strong&gt;Why others are incorrect:&lt;/strong&gt; A is incorrect because SGLT2 inhibitors act as mild diuretics and reduce fluid retention rather than causing it. C is incorrect as their mechanism of action is glucose-dependent, meaning they carry a low risk of hypoglycemia when used without insulin or sulfonylureas. D and E are incorrect and not associated with this class of medication.&lt;/li&gt;</w:t>
      </w:r>
    </w:p>
    <w:p>
      <w:pPr>
        <w:pStyle w:val="style0"/>
        <w:rPr/>
      </w:pPr>
      <w:r>
        <w:t xml:space="preserve">                &lt;/ul&gt;</w:t>
      </w:r>
    </w:p>
    <w:p>
      <w:pPr>
        <w:pStyle w:val="style0"/>
        <w:rPr/>
      </w:pPr>
      <w:r>
        <w:t xml:space="preserve">                &lt;div class="clinical-pearl"&gt;⭐ PEBC PEARL: While mild genital infections from SGLT2 inhibitors can often be managed with standard antifungal treatments without stopping the medication, recurrent severe infections or signs of systemic illness warrant re-evaluating therapy to avoid rare but serious complications like Fournier's gangrene.&lt;/div&gt;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id="q24-box"&gt;</w:t>
      </w:r>
    </w:p>
    <w:p>
      <w:pPr>
        <w:pStyle w:val="style0"/>
        <w:rPr/>
      </w:pPr>
      <w:r>
        <w:t xml:space="preserve">            &lt;span class="badge badge-case"&gt;Clinical Case&lt;/span&gt;</w:t>
      </w:r>
    </w:p>
    <w:p>
      <w:pPr>
        <w:pStyle w:val="style0"/>
        <w:rPr/>
      </w:pPr>
      <w:r>
        <w:t xml:space="preserve">            &lt;div class="question-text"&gt;24. A 67-year-old female patient with Type 2 Diabetes is currently taking Metformin 1000 mg BID and Empagliflozin 25 mg once daily. Her baseline kidney function has declined over the past two years, with her latest eGFR returning at 24 mL/min/1.73m². How should the pharmacist recommend modifying her current therapy?&lt;/div&gt;</w:t>
      </w:r>
    </w:p>
    <w:p>
      <w:pPr>
        <w:pStyle w:val="style0"/>
        <w:rPr/>
      </w:pPr>
      <w:r>
        <w:t xml:space="preserve">            &lt;div class="options-container"&gt;</w:t>
      </w:r>
    </w:p>
    <w:p>
      <w:pPr>
        <w:pStyle w:val="style0"/>
        <w:rPr/>
      </w:pPr>
      <w:r>
        <w:t xml:space="preserve">                &lt;label class="option-label"&gt;&lt;input type="radio" name="q24" value="A"&gt; A) Continue both medications at current doses because her A1C is well controlled.&lt;/label&gt;</w:t>
      </w:r>
    </w:p>
    <w:p>
      <w:pPr>
        <w:pStyle w:val="style0"/>
        <w:rPr/>
      </w:pPr>
      <w:r>
        <w:t xml:space="preserve">                &lt;label class="option-label"&gt;&lt;input type="radio" name="q24" value="B"&gt; B) Increase Metformin to 1000 mg TID to compensate for the reduction in Empagliflozin's effectiveness.&lt;/label&gt;</w:t>
      </w:r>
    </w:p>
    <w:p>
      <w:pPr>
        <w:pStyle w:val="style0"/>
        <w:rPr/>
      </w:pPr>
      <w:r>
        <w:t xml:space="preserve">                &lt;label class="option-label"&gt;&lt;input type="radio" name="q24" value="C"&gt; C) Hold Metformin due to her eGFR being below 30 mL/min/1.73m² to reduce the risk of lactic acidosis; maintain Empagliflozin for its cardiorenal protective benefits, though its glucose-lowering effect will be reduced.&lt;/label&gt;</w:t>
      </w:r>
    </w:p>
    <w:p>
      <w:pPr>
        <w:pStyle w:val="style0"/>
        <w:rPr/>
      </w:pPr>
      <w:r>
        <w:t xml:space="preserve">                &lt;label class="option-label"&gt;&lt;input type="radio" name="q24" value="D"&gt; D) Discontinue both Metformin and Empagliflozin, and initiate Glyburide 10 mg BID.&lt;/label&gt;</w:t>
      </w:r>
    </w:p>
    <w:p>
      <w:pPr>
        <w:pStyle w:val="style0"/>
        <w:rPr/>
      </w:pPr>
      <w:r>
        <w:t xml:space="preserve">                &lt;label class="option-label"&gt;&lt;input type="radio" name="q24" value="E"&gt; E) Switch Empagliflozin to Canagliflozin 300 mg daily while keeping Metformin unchanged.&lt;/label&gt;</w:t>
      </w:r>
    </w:p>
    <w:p>
      <w:pPr>
        <w:pStyle w:val="style0"/>
        <w:rPr/>
      </w:pPr>
      <w:r>
        <w:t xml:space="preserve">            &lt;/div&gt;</w:t>
      </w:r>
    </w:p>
    <w:p>
      <w:pPr>
        <w:pStyle w:val="style0"/>
        <w:rPr/>
      </w:pPr>
      <w:r>
        <w:t xml:space="preserve">            &lt;div class="explanation-box" id="exp-q24"&gt;</w:t>
      </w:r>
    </w:p>
    <w:p>
      <w:pPr>
        <w:pStyle w:val="style0"/>
        <w:rPr/>
      </w:pPr>
      <w:r>
        <w:t xml:space="preserve">                &lt;strong&gt;Correct Answer: C&lt;/strong&gt;&lt;br&gt;</w:t>
      </w:r>
    </w:p>
    <w:p>
      <w:pPr>
        <w:pStyle w:val="style0"/>
        <w:rPr/>
      </w:pPr>
      <w:r>
        <w:t xml:space="preserve">                &lt;ul&gt;</w:t>
      </w:r>
    </w:p>
    <w:p>
      <w:pPr>
        <w:pStyle w:val="style0"/>
        <w:rPr/>
      </w:pPr>
      <w:r>
        <w:t xml:space="preserve">                    &lt;li&gt;&lt;strong&gt;Why C is correct:&lt;/strong&gt; Metformin must be discontinued when the eGFR falls below 30 mL/min/1.73m² due to the risk of drug accumulation and lactic acidosis. In contrast, major guidelines allow for the continuation of SGLT2 inhibitors like Empagliflozin down to an eGFR of 20 mL/min/1.73m² (or lower in some protocols) for cardiorenal protection, even though their ability to lower blood glucose is significantly reduced at this level of kidney function.&lt;/li&gt;</w:t>
      </w:r>
    </w:p>
    <w:p>
      <w:pPr>
        <w:pStyle w:val="style0"/>
        <w:rPr/>
      </w:pPr>
      <w:r>
        <w:t xml:space="preserve">                    &lt;li&gt;&lt;strong&gt;Why others are incorrect:&lt;/strong&gt; A and B are unsafe because continuing or increasing Metformin with an eGFR of 24 increases the risk of lactic acidosis. D is incorrect because Glyburide should be avoided in patients with renal impairment due to the risk of accumulation and severe hypoglycemia. E is incorrect because it fails to address the safety concern with Metformin.&lt;/li&gt;</w:t>
      </w:r>
    </w:p>
    <w:p>
      <w:pPr>
        <w:pStyle w:val="style0"/>
        <w:rPr/>
      </w:pPr>
      <w:r>
        <w:t xml:space="preserve">                &lt;/ul&gt;</w:t>
      </w:r>
    </w:p>
    <w:p>
      <w:pPr>
        <w:pStyle w:val="style0"/>
        <w:rPr/>
      </w:pPr>
      <w:r>
        <w:t xml:space="preserve">                &lt;div class="clinical-pearl"&gt;⭐ PEBC PEARL: SGLT2 inhibitors have two distinct thresholds: glycemic efficacy declines significantly below an eGFR of 45, but cardiorenal protection remains effective down to an eGFR of 20. Always check renal function to ensure Metformin is stopped if the eGFR drops below 30.&lt;/div&gt;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id="q25-box"&gt;</w:t>
      </w:r>
    </w:p>
    <w:p>
      <w:pPr>
        <w:pStyle w:val="style0"/>
        <w:rPr/>
      </w:pPr>
      <w:r>
        <w:t xml:space="preserve">            &lt;span class="badge badge-case"&gt;Clinical Case&lt;/span&gt;</w:t>
      </w:r>
    </w:p>
    <w:p>
      <w:pPr>
        <w:pStyle w:val="style0"/>
        <w:rPr/>
      </w:pPr>
      <w:r>
        <w:t xml:space="preserve">            &lt;div class="question-text"&gt;25. A 19-year-old female with Type 1 Diabetes is admitted to the hospital with a severe case of influenza, high fever, and persistent vomiting. She has been unable to eat or drink fluids for the past 12 hours. Her blood glucose is currently 16.2 mmol/L. She is considering holding her insulin because she cannot keep food down. What is the most appropriate management advice?&lt;/div&gt;</w:t>
      </w:r>
    </w:p>
    <w:p>
      <w:pPr>
        <w:pStyle w:val="style0"/>
        <w:rPr/>
      </w:pPr>
      <w:r>
        <w:t xml:space="preserve">            &lt;div class="options-container"&gt;</w:t>
      </w:r>
    </w:p>
    <w:p>
      <w:pPr>
        <w:pStyle w:val="style0"/>
        <w:rPr/>
      </w:pPr>
      <w:r>
        <w:t xml:space="preserve">                &lt;label class="option-label"&gt;&lt;input type="radio" name="q25" value="A"&gt; A) Hold her basal insulin until she can tolerate solid food again to prevent hypoglycemia.&lt;/label&gt;</w:t>
      </w:r>
    </w:p>
    <w:p>
      <w:pPr>
        <w:pStyle w:val="style0"/>
        <w:rPr/>
      </w:pPr>
      <w:r>
        <w:t xml:space="preserve">                &lt;label class="option-label"&gt;&lt;input type="radio" name="q25" value="B"&gt; B) Advise her to continue her basal insulin, monitor blood glucose and serum ketones every 2–4 hours, take extra rapid-acting insulin corrections as needed based on a sick-day protocol, try to sip carbohydrate-containing fluids, and seek immediate emergency care if vomiting prevents hydration.&lt;/label&gt;</w:t>
      </w:r>
    </w:p>
    <w:p>
      <w:pPr>
        <w:pStyle w:val="style0"/>
        <w:rPr/>
      </w:pPr>
      <w:r>
        <w:t xml:space="preserve">                &lt;label class="option-label"&gt;&lt;input type="radio" name="q25" value="C"&gt; C) Switch her to oral Metformin 500 mg once daily until her influenza symptoms resolve.&lt;/label&gt;</w:t>
      </w:r>
    </w:p>
    <w:p>
      <w:pPr>
        <w:pStyle w:val="style0"/>
        <w:rPr/>
      </w:pPr>
      <w:r>
        <w:t xml:space="preserve">                &lt;label class="option-label"&gt;&lt;input type="radio" name="q25" value="D"&gt; D) Increase her basal insulin dose by 100% and avoid checking ketones to reduce stress.&lt;/label&gt;</w:t>
      </w:r>
    </w:p>
    <w:p>
      <w:pPr>
        <w:pStyle w:val="style0"/>
        <w:rPr/>
      </w:pPr>
      <w:r>
        <w:t xml:space="preserve">                &lt;label class="option-label"&gt;&lt;input type="radio" name="q25" value="E"&gt; E) Hold all insulin and drink large volumes of water until her blood glucose drops below 7.0 mmol/L.&lt;/label&gt;</w:t>
      </w:r>
    </w:p>
    <w:p>
      <w:pPr>
        <w:pStyle w:val="style0"/>
        <w:rPr/>
      </w:pPr>
      <w:r>
        <w:t xml:space="preserve">            &lt;/div&gt;</w:t>
      </w:r>
    </w:p>
    <w:p>
      <w:pPr>
        <w:pStyle w:val="style0"/>
        <w:rPr/>
      </w:pPr>
      <w:r>
        <w:t xml:space="preserve">            &lt;div class="explanation-box" id="exp-q25"&gt;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During acute illness, counter-regulatory stress hormones (such as cortisol and adrenaline) rise significantly, which increases blood glucose levels and the risk of ketogenesis in patients with Type 1 Diabetes. Basal insulin must never be discontinued, even if a patient is unable to eat, as it is required to prevent the development of DKA. Frequent monitoring of glucose and ketones, along with supplemental rapid-acting insulin corrections, is essential. If persistent vomiting prevents hydration, the patient requires IV fluids and evaluation in an emergency setting.&lt;/li&gt;</w:t>
      </w:r>
    </w:p>
    <w:p>
      <w:pPr>
        <w:pStyle w:val="style0"/>
        <w:rPr/>
      </w:pPr>
      <w:r>
        <w:t xml:space="preserve">                    &lt;li&gt;&lt;strong&gt;Why others are incorrect:&lt;/strong&gt; A and E are dangerous and will likely lead to DKA within hours due to the complete lack of insulin. C is incorrect as oral agents are not effective for managing Type 1 Diabetes. D is unsafe because a blind 100% increase in basal insulin without frequent monitoring can cause severe hypoglycemia.&lt;/li&gt;</w:t>
      </w:r>
    </w:p>
    <w:p>
      <w:pPr>
        <w:pStyle w:val="style0"/>
        <w:rPr/>
      </w:pPr>
      <w:r>
        <w:t xml:space="preserve">                &lt;/ul&gt;</w:t>
      </w:r>
    </w:p>
    <w:p>
      <w:pPr>
        <w:pStyle w:val="style0"/>
        <w:rPr/>
      </w:pPr>
      <w:r>
        <w:t xml:space="preserve">                &lt;div class="clinical-pearl"&gt;⭐ PEBC PEARL: Insulin must never be stopped in a patient with Type 1 Diabetes during illness. Stress hormones raise insulin requirements even if the patient is not eating. Follow sick-day rules: increase monitoring, check for ketones, and use rapid-acting insulin corrections.&lt;/div&gt;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id="q26-box"&gt;</w:t>
      </w:r>
    </w:p>
    <w:p>
      <w:pPr>
        <w:pStyle w:val="style0"/>
        <w:rPr/>
      </w:pPr>
      <w:r>
        <w:t xml:space="preserve">            &lt;span class="badge badge-case"&gt;Clinical Case&lt;/span&gt;</w:t>
      </w:r>
    </w:p>
    <w:p>
      <w:pPr>
        <w:pStyle w:val="style0"/>
        <w:rPr/>
      </w:pPr>
      <w:r>
        <w:t xml:space="preserve">            &lt;div class="question-text"&gt;26. A 54-year-old male with Type 2 Diabetes is currently taking Metformin 1000 mg BID and Gliclazide 80 mg BID. His A1C is 8.6%, and his physician decides to initiate basal insulin therapy. His fasting plasma glucose levels average 11.5 mmol/L. Which of the following options represents the most appropriate starting protocol for basal insulin in this patient?&lt;/div&gt;</w:t>
      </w:r>
    </w:p>
    <w:p>
      <w:pPr>
        <w:pStyle w:val="style0"/>
        <w:rPr/>
      </w:pPr>
      <w:r>
        <w:t xml:space="preserve">            &lt;div class="options-container"&gt;</w:t>
      </w:r>
    </w:p>
    <w:p>
      <w:pPr>
        <w:pStyle w:val="style0"/>
        <w:rPr/>
      </w:pPr>
      <w:r>
        <w:t xml:space="preserve">                &lt;label class="option-label"&gt;&lt;input type="radio" name="q26" value="A"&gt; A) Start Glargine U-100 at 100 units once daily at bedtime.&lt;/label&gt;</w:t>
      </w:r>
    </w:p>
    <w:p>
      <w:pPr>
        <w:pStyle w:val="style0"/>
        <w:rPr/>
      </w:pPr>
      <w:r>
        <w:t xml:space="preserve">                &lt;label class="option-label"&gt;&lt;input type="radio" name="q26" value="B"&gt; B) Start Glargine U-100 at 10 units (or 0.1–0.2 units/kg) once daily at bedtime, and titrate the dose by adding 1–2 units every few days until fasting blood glucose targets are consistently met.&lt;/label&gt;</w:t>
      </w:r>
    </w:p>
    <w:p>
      <w:pPr>
        <w:pStyle w:val="style0"/>
        <w:rPr/>
      </w:pPr>
      <w:r>
        <w:t xml:space="preserve">                &lt;label class="option-label"&gt;&lt;input type="radio" name="q26" value="C"&gt; C) Discontinue Metformin and start NPH insulin 50 units twice daily.&lt;/label&gt;</w:t>
      </w:r>
    </w:p>
    <w:p>
      <w:pPr>
        <w:pStyle w:val="style0"/>
        <w:rPr/>
      </w:pPr>
      <w:r>
        <w:t xml:space="preserve">                &lt;label class="option-label"&gt;&lt;input type="radio" name="q26" value="D"&gt; D) Start rapid-acting Lispro 10 units three times daily before meals, without a basal insulin.&lt;/label&gt;</w:t>
      </w:r>
    </w:p>
    <w:p>
      <w:pPr>
        <w:pStyle w:val="style0"/>
        <w:rPr/>
      </w:pPr>
      <w:r>
        <w:t xml:space="preserve">                &lt;label class="option-label"&gt;&lt;input type="radio" name="q26" value="E"&gt; E) Initiate a continuous subcutaneous insulin infusion (insulin pump) at a high basal rate.&lt;/label&gt;</w:t>
      </w:r>
    </w:p>
    <w:p>
      <w:pPr>
        <w:pStyle w:val="style0"/>
        <w:rPr/>
      </w:pPr>
      <w:r>
        <w:t xml:space="preserve">            &lt;/div&gt;</w:t>
      </w:r>
    </w:p>
    <w:p>
      <w:pPr>
        <w:pStyle w:val="style0"/>
        <w:rPr/>
      </w:pPr>
      <w:r>
        <w:t xml:space="preserve">            &lt;div class="explanation-box" id="exp-q26"&gt;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When initiating basal insulin in Type 2 Diabetes, a safe and standard approach is to start with a low dose, typically 10 units once daily (or 0.1–0.2 units/kg/day). The dose is then gradually titrated (e.g., adding 1–2 units every few days or 2 units every 3 days) based on fasting blood glucose readings, with a typical target of 4.0–7.0 mmol/L, while minimizing the risk of nocturnal hypoglycemia.&lt;/li&gt;</w:t>
      </w:r>
    </w:p>
    <w:p>
      <w:pPr>
        <w:pStyle w:val="style0"/>
        <w:rPr/>
      </w:pPr>
      <w:r>
        <w:t xml:space="preserve">                    &lt;li&gt;&lt;strong&gt;Why others are incorrect:&lt;/strong&gt; A is an excessively high starting dose that could cause severe, life-threatening hypoglycemia. C is incorrect because Metformin should be maintained to help manage insulin resistance and minimize weight gain, and starting NPH at 50 units BID is unsafe. D describes a bolus-only regimen, which is not the standard first step when initiating insulin for long-standing Type 2 Diabetes. E is unnecessary and inappropriate for initial insulin management in this setting.&lt;/li&gt;</w:t>
      </w:r>
    </w:p>
    <w:p>
      <w:pPr>
        <w:pStyle w:val="style0"/>
        <w:rPr/>
      </w:pPr>
      <w:r>
        <w:t xml:space="preserve">                &lt;/ul&gt;</w:t>
      </w:r>
    </w:p>
    <w:p>
      <w:pPr>
        <w:pStyle w:val="style0"/>
        <w:rPr/>
      </w:pPr>
      <w:r>
        <w:t xml:space="preserve">                &lt;div class="clinical-pearl"&gt;⭐ PEBC PEARL: When starting basal insulin in Type 2 Diabetes, 'start low and go slow.' A standard starting dose is 10 units at bedtime. Metformin should be continued to maintain insulin sensitivity and help limit insulin-associated weight gain.&lt;/div&gt;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id="q27-box"&gt;</w:t>
      </w:r>
    </w:p>
    <w:p>
      <w:pPr>
        <w:pStyle w:val="style0"/>
        <w:rPr/>
      </w:pPr>
      <w:r>
        <w:t xml:space="preserve">            &lt;span class="badge badge-case"&gt;Clinical Case&lt;/span&gt;</w:t>
      </w:r>
    </w:p>
    <w:p>
      <w:pPr>
        <w:pStyle w:val="style0"/>
        <w:rPr/>
      </w:pPr>
      <w:r>
        <w:t xml:space="preserve">            &lt;div class="question-text"&gt;27. A 63-year-old female with Type 2 Diabetes and a history of chronic severe constipation is seeking treatment escalation. Her current A1C is 8.0% on Metformin 1000 mg BID. Which of the following classes of antidiabetic medications is least appropriate or should be used with caution due to its known side effect of delaying gastric emptying, which can worsen severe gastrointestinal motility issues?&lt;/div&gt;</w:t>
      </w:r>
    </w:p>
    <w:p>
      <w:pPr>
        <w:pStyle w:val="style0"/>
        <w:rPr/>
      </w:pPr>
      <w:r>
        <w:t xml:space="preserve">            &lt;div class="options-container"&gt;</w:t>
      </w:r>
    </w:p>
    <w:p>
      <w:pPr>
        <w:pStyle w:val="style0"/>
        <w:rPr/>
      </w:pPr>
      <w:r>
        <w:t xml:space="preserve">                &lt;label class="option-label"&gt;&lt;input type="radio" name="q27" value="A"&gt; A) SGLT2 Inhibitors (e.g., Dapagliflozin)&lt;/label&gt;</w:t>
      </w:r>
    </w:p>
    <w:p>
      <w:pPr>
        <w:pStyle w:val="style0"/>
        <w:rPr/>
      </w:pPr>
      <w:r>
        <w:t xml:space="preserve">                &lt;label class="option-label"&gt;&lt;input type="radio" name="q27" value="B"&gt; B) GLP-1 Receptor Agonists (e.g., Dulaglutide, Semaglutide)&lt;/label&gt;</w:t>
      </w:r>
    </w:p>
    <w:p>
      <w:pPr>
        <w:pStyle w:val="style0"/>
        <w:rPr/>
      </w:pPr>
      <w:r>
        <w:t xml:space="preserve">                &lt;label class="option-label"&gt;&lt;input type="radio" name="q27" value="C"&gt; C) DPP-4 Inhibitors (e.g., Sitagliptin)&lt;/label&gt;</w:t>
      </w:r>
    </w:p>
    <w:p>
      <w:pPr>
        <w:pStyle w:val="style0"/>
        <w:rPr/>
      </w:pPr>
      <w:r>
        <w:t xml:space="preserve">                &lt;label class="option-label"&gt;&lt;input type="radio" name="q27" value="D"&gt; D) Sulfonylureas (e.g., Gliclazide)&lt;/label&gt;</w:t>
      </w:r>
    </w:p>
    <w:p>
      <w:pPr>
        <w:pStyle w:val="style0"/>
        <w:rPr/>
      </w:pPr>
      <w:r>
        <w:t xml:space="preserve">                &lt;label class="option-label"&gt;&lt;input type="radio" name="q27" value="E"&gt; E) Thiazolidinediones (e.g., Pioglitazone)&lt;/label&gt;</w:t>
      </w:r>
    </w:p>
    <w:p>
      <w:pPr>
        <w:pStyle w:val="style0"/>
        <w:rPr/>
      </w:pPr>
      <w:r>
        <w:t xml:space="preserve">            &lt;/div&gt;</w:t>
      </w:r>
    </w:p>
    <w:p>
      <w:pPr>
        <w:pStyle w:val="style0"/>
        <w:rPr/>
      </w:pPr>
      <w:r>
        <w:t xml:space="preserve">            &lt;div class="explanation-box" id="exp-q27"&gt;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GLP-1 receptor agonists work in part by delaying gastric emptying and slowing upper gastrointestinal motility. In a patient with pre-existing severe constipation, gastroparesis, or a history of bowel obstruction, this mechanism can worsen their underlying gastrointestinal symptoms and lower tolerability.&lt;/li&gt;</w:t>
      </w:r>
    </w:p>
    <w:p>
      <w:pPr>
        <w:pStyle w:val="style0"/>
        <w:rPr/>
      </w:pPr>
      <w:r>
        <w:t xml:space="preserve">                    &lt;li&gt;&lt;strong&gt;Why others are incorrect:&lt;/strong&gt; A, C, D, and E do not significantly affect gastric emptying or gastrointestinal motility, making them more appropriate choices from a tolerability standpoint in this specific patient.&lt;/li&gt;</w:t>
      </w:r>
    </w:p>
    <w:p>
      <w:pPr>
        <w:pStyle w:val="style0"/>
        <w:rPr/>
      </w:pPr>
      <w:r>
        <w:t xml:space="preserve">                &lt;/ul&gt;</w:t>
      </w:r>
    </w:p>
    <w:p>
      <w:pPr>
        <w:pStyle w:val="style0"/>
        <w:rPr/>
      </w:pPr>
      <w:r>
        <w:t xml:space="preserve">                &lt;div class="clinical-pearl"&gt;⭐ PEBC PEARL: While GLP-1 receptor agonists offer excellent cardiovascular and weight-loss benefits, their effects on gastrointestinal motility mean they should be used with caution in patients with severe pre-existing motility disorders like diabetic gastroparesis or chronic severe constipation.&lt;/div&gt;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id="q28-box"&gt;</w:t>
      </w:r>
    </w:p>
    <w:p>
      <w:pPr>
        <w:pStyle w:val="style0"/>
        <w:rPr/>
      </w:pPr>
      <w:r>
        <w:t xml:space="preserve">            &lt;span class="badge badge-case"&gt;Clinical Case&lt;/span&gt;</w:t>
      </w:r>
    </w:p>
    <w:p>
      <w:pPr>
        <w:pStyle w:val="style0"/>
        <w:rPr/>
      </w:pPr>
      <w:r>
        <w:t xml:space="preserve">            &lt;div class="question-text"&gt;28. A 58-year-old male with Type 2 Diabetes presents for a routine follow-up. His home blood pressure logs average 136/84 mmHg, and his in-clinic blood pressure is 138/86 mmHg. He is currently not taking any antihypertensive medications. According to Diabetes Canada guidelines, what is his blood pressure target and the preferred first-line antihypertensive class for this patient?&lt;/div&gt;</w:t>
      </w:r>
    </w:p>
    <w:p>
      <w:pPr>
        <w:pStyle w:val="style0"/>
        <w:rPr/>
      </w:pPr>
      <w:r>
        <w:t xml:space="preserve">            &lt;div class="options-container"&gt;</w:t>
      </w:r>
    </w:p>
    <w:p>
      <w:pPr>
        <w:pStyle w:val="style0"/>
        <w:rPr/>
      </w:pPr>
      <w:r>
        <w:t xml:space="preserve">                &lt;label class="option-label"&gt;&lt;input type="radio" name="q28" value="A"&gt; A) Target &lt; 140/90 mmHg; first-line therapy is Metoprolol.&lt;/label&gt;</w:t>
      </w:r>
    </w:p>
    <w:p>
      <w:pPr>
        <w:pStyle w:val="style0"/>
        <w:rPr/>
      </w:pPr>
      <w:r>
        <w:t xml:space="preserve">                &lt;label class="option-label"&gt;&lt;input type="radio" name="q28" value="B"&gt; B) Target &lt; 130/80 mmHg; first-line therapy is an ACE inhibitor (e.g., Ramipril) or an ARB (e.g., Candesartan).&lt;/label&gt;</w:t>
      </w:r>
    </w:p>
    <w:p>
      <w:pPr>
        <w:pStyle w:val="style0"/>
        <w:rPr/>
      </w:pPr>
      <w:r>
        <w:t xml:space="preserve">                &lt;label class="option-label"&gt;&lt;input type="radio" name="q28" value="C"&gt; C) Target &lt; 150/90 mmHg; first-line therapy is Hydrochlorothiazide.&lt;/label&gt;</w:t>
      </w:r>
    </w:p>
    <w:p>
      <w:pPr>
        <w:pStyle w:val="style0"/>
        <w:rPr/>
      </w:pPr>
      <w:r>
        <w:t xml:space="preserve">                &lt;label class="option-label"&gt;&lt;input type="radio" name="q28" value="D"&gt; D) Target &lt; 120/70 mmHg; first-line therapy is Clonidine.&lt;/label&gt;</w:t>
      </w:r>
    </w:p>
    <w:p>
      <w:pPr>
        <w:pStyle w:val="style0"/>
        <w:rPr/>
      </w:pPr>
      <w:r>
        <w:t xml:space="preserve">                &lt;label class="option-label"&gt;&lt;input type="radio" name="q28" value="E"&gt; E) No treatment is needed because his blood pressure is below the standard cut-off of 140/90 mmHg.&lt;/label&gt;</w:t>
      </w:r>
    </w:p>
    <w:p>
      <w:pPr>
        <w:pStyle w:val="style0"/>
        <w:rPr/>
      </w:pPr>
      <w:r>
        <w:t xml:space="preserve">            &lt;/div&gt;</w:t>
      </w:r>
    </w:p>
    <w:p>
      <w:pPr>
        <w:pStyle w:val="style0"/>
        <w:rPr/>
      </w:pPr>
      <w:r>
        <w:t xml:space="preserve">            &lt;div class="explanation-box" id="exp-q28"&gt;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For patients with diabetes, blood pressure guidelines recommend a target of &lt;130/80 mmHg to reduce the risk of macrovascular and microvascular complications. The preferred first-line agents are drugs that block the renin-angiotensin-aldosterone system (RAAS), such as ACE inhibitors or ARBs, due to their proven benefits in slowing the progression of diabetic nephropathy.&lt;/li&gt;</w:t>
      </w:r>
    </w:p>
    <w:p>
      <w:pPr>
        <w:pStyle w:val="style0"/>
        <w:rPr/>
      </w:pPr>
      <w:r>
        <w:t xml:space="preserve">                    &lt;li&gt;&lt;strong&gt;Why others are incorrect:&lt;/strong&gt; A, C, and E use incorrect blood pressure targets for individuals with diabetes. Beta-blockers (A) and thiazide diuretics (C) are alternatives but are not preferred over ACE inhibitors or ARBs for initial therapy in patients with diabetes unless other specific indications are present.&lt;/li&gt;</w:t>
      </w:r>
    </w:p>
    <w:p>
      <w:pPr>
        <w:pStyle w:val="style0"/>
        <w:rPr/>
      </w:pPr>
      <w:r>
        <w:t xml:space="preserve">                &lt;/ul&gt;</w:t>
      </w:r>
    </w:p>
    <w:p>
      <w:pPr>
        <w:pStyle w:val="style0"/>
        <w:rPr/>
      </w:pPr>
      <w:r>
        <w:t xml:space="preserve">                &lt;div class="clinical-pearl"&gt;⭐ PEBC PEARL: The blood pressure target for patients with diabetes is strictly &lt;130/80 mmHg. Initial therapy should include an ACE inhibitor or an ARB to provide renal protection, even if microalbuminuria is not yet present.&lt;/div&gt;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id="q29-box"&gt;</w:t>
      </w:r>
    </w:p>
    <w:p>
      <w:pPr>
        <w:pStyle w:val="style0"/>
        <w:rPr/>
      </w:pPr>
      <w:r>
        <w:t xml:space="preserve">            &lt;span class="badge badge-case"&gt;Clinical Case&lt;/span&gt;</w:t>
      </w:r>
    </w:p>
    <w:p>
      <w:pPr>
        <w:pStyle w:val="style0"/>
        <w:rPr/>
      </w:pPr>
      <w:r>
        <w:t xml:space="preserve">            &lt;div class="question-text"&gt;29. A 31-year-old male with Type 1 Diabetes uses a basal-bolus regimen. He reports that his fasting morning blood glucose levels are consistently high, averaging 10.8 mmol/L. However, his blood glucose logs show that his daytime and pre-meal levels are well managed. His clinician advises him to check his blood glucose at 3:00 AM for three consecutive nights. The 3:00 AM readings return low, averaging 2.9 mmol/L. What physiological phenomenon is this patient experiencing, and what is the appropriate management?&lt;/div&gt;</w:t>
      </w:r>
    </w:p>
    <w:p>
      <w:pPr>
        <w:pStyle w:val="style0"/>
        <w:rPr/>
      </w:pPr>
      <w:r>
        <w:t xml:space="preserve">            &lt;div class="options-container"&gt;</w:t>
      </w:r>
    </w:p>
    <w:p>
      <w:pPr>
        <w:pStyle w:val="style0"/>
        <w:rPr/>
      </w:pPr>
      <w:r>
        <w:t xml:space="preserve">                &lt;label class="option-label"&gt;&lt;input type="radio" name="q29" value="A"&gt; A) The Dawn Phenomenon; increase his bedtime basal insulin dose.&lt;/label&gt;</w:t>
      </w:r>
    </w:p>
    <w:p>
      <w:pPr>
        <w:pStyle w:val="style0"/>
        <w:rPr/>
      </w:pPr>
      <w:r>
        <w:t xml:space="preserve">                &lt;label class="option-label"&gt;&lt;input type="radio" name="q29" value="B"&gt; B) The Somogyi Effect (rebound hyperglycemia); reduce his bedtime basal insulin dose or add a bedtime carbohydrate snack.&lt;/label&gt;</w:t>
      </w:r>
    </w:p>
    <w:p>
      <w:pPr>
        <w:pStyle w:val="style0"/>
        <w:rPr/>
      </w:pPr>
      <w:r>
        <w:t xml:space="preserve">                &lt;label class="option-label"&gt;&lt;input type="radio" name="q29" value="C"&gt; C) Absolute insulin resistance; add oral Metformin at bedtime.&lt;/label&gt;</w:t>
      </w:r>
    </w:p>
    <w:p>
      <w:pPr>
        <w:pStyle w:val="style0"/>
        <w:rPr/>
      </w:pPr>
      <w:r>
        <w:t xml:space="preserve">                &lt;label class="option-label"&gt;&lt;input type="radio" name="q29" value="D"&gt; D) Malingering; no adjustments are required.&lt;/label&gt;</w:t>
      </w:r>
    </w:p>
    <w:p>
      <w:pPr>
        <w:pStyle w:val="style0"/>
        <w:rPr/>
      </w:pPr>
      <w:r>
        <w:t xml:space="preserve">                &lt;label class="option-label"&gt;&lt;input type="radio" name="q29" value="E"&gt; E) Dietary non-compliance; instruct the patient to eliminate all dinner carbohydrates.&lt;/label&gt;</w:t>
      </w:r>
    </w:p>
    <w:p>
      <w:pPr>
        <w:pStyle w:val="style0"/>
        <w:rPr/>
      </w:pPr>
      <w:r>
        <w:t xml:space="preserve">            &lt;/div&gt;</w:t>
      </w:r>
    </w:p>
    <w:p>
      <w:pPr>
        <w:pStyle w:val="style0"/>
        <w:rPr/>
      </w:pPr>
      <w:r>
        <w:t xml:space="preserve">            &lt;div class="explanation-box" id="exp-q29"&gt;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The Somogyi Effect occurs when excessive evening or bedtime insulin causes undetected hypoglycemia in the middle of the night (e.g., around 3:00 AM). In response, the body releases counter-regulatory hormones (such as cortisol, glucagon, and adrenaline) to raise blood glucose, leading to a rebound hyperglycemia by the time the patient wakes up in the morning. Management requires reducing the evening basal insulin dose or eating a carbohydrate-containing snack before bed.&lt;/li&gt;</w:t>
      </w:r>
    </w:p>
    <w:p>
      <w:pPr>
        <w:pStyle w:val="style0"/>
        <w:rPr/>
      </w:pPr>
      <w:r>
        <w:t xml:space="preserve">                    &lt;li&gt;&lt;strong&gt;Why others are incorrect:&lt;/strong&gt; A describes the Dawn Phenomenon, which is morning hyperglycemia caused by the natural surge of growth hormone and cortisol in the early morning hours, without preceding nighttime hypoglycemia. If a patient has the Dawn Phenomenon, their 3:00 AM glucose would be normal or elevated, and treatment would involve increasing the bedtime insulin. C, D, and E do not align with the physiology of this presentation.&lt;/li&gt;</w:t>
      </w:r>
    </w:p>
    <w:p>
      <w:pPr>
        <w:pStyle w:val="style0"/>
        <w:rPr/>
      </w:pPr>
      <w:r>
        <w:t xml:space="preserve">                &lt;/ul&gt;</w:t>
      </w:r>
    </w:p>
    <w:p>
      <w:pPr>
        <w:pStyle w:val="style0"/>
        <w:rPr/>
      </w:pPr>
      <w:r>
        <w:t xml:space="preserve">                &lt;div class="clinical-pearl"&gt;⭐ PEBC PEARL: To differentiate morning hyperglycemia caused by the Somogyi Effect from the Dawn Phenomenon, check the blood glucose at 3:00 AM. A low reading indicates the Somogyi Effect (requiring less evening insulin), while a normal or high reading indicates the Dawn Phenomenon (requiring optimized evening insulin).&lt;/div&gt;</w:t>
      </w:r>
    </w:p>
    <w:p>
      <w:pPr>
        <w:pStyle w:val="style0"/>
        <w:rPr/>
      </w:pPr>
      <w:r>
        <w:t xml:space="preserve">            &lt;/div&gt;</w:t>
      </w:r>
    </w:p>
    <w:p>
      <w:pPr>
        <w:pStyle w:val="style0"/>
        <w:rPr/>
      </w:pPr>
      <w:r>
        <w:t xml:space="preserve">        &lt;/div&gt;</w:t>
      </w:r>
    </w:p>
    <w:p>
      <w:pPr>
        <w:pStyle w:val="style0"/>
        <w:rPr/>
      </w:pPr>
    </w:p>
    <w:p>
      <w:pPr>
        <w:pStyle w:val="style0"/>
        <w:rPr/>
      </w:pPr>
      <w:r>
        <w:t xml:space="preserve">        &lt;div class="question-card" id="q30-box"&gt;</w:t>
      </w:r>
    </w:p>
    <w:p>
      <w:pPr>
        <w:pStyle w:val="style0"/>
        <w:rPr/>
      </w:pPr>
      <w:r>
        <w:t xml:space="preserve">            &lt;span class="badge badge-case"&gt;Clinical Case&lt;/span&gt;</w:t>
      </w:r>
    </w:p>
    <w:p>
      <w:pPr>
        <w:pStyle w:val="style0"/>
        <w:rPr/>
      </w:pPr>
      <w:r>
        <w:t xml:space="preserve">            &lt;div class="question-text"&gt;30. A 53-year-old male with Type 2 Diabetes is taking Metformin 1000 mg BID and Empagliflozin 10 mg daily. He presents to the clinic with a stable blood pressure of 122/74 mmHg and an A1C of 7.2%. His routine lab monitoring reveals a serum potassium level of 5.6 mmol/L (normal range: 3.5–5.0 mmol/L). Which of the following medications, if found on his profile, is the most likely cause of this electrolyte disruption?&lt;/div&gt;</w:t>
      </w:r>
    </w:p>
    <w:p>
      <w:pPr>
        <w:pStyle w:val="style0"/>
        <w:rPr/>
      </w:pPr>
      <w:r>
        <w:t xml:space="preserve">            &lt;div class="options-container"&gt;</w:t>
      </w:r>
    </w:p>
    <w:p>
      <w:pPr>
        <w:pStyle w:val="style0"/>
        <w:rPr/>
      </w:pPr>
      <w:r>
        <w:t xml:space="preserve">                &lt;label class="option-label"&gt;&lt;input type="radio" name="q30" value="A"&gt; A) Hydrochlorothiazide&lt;/label&gt;</w:t>
      </w:r>
    </w:p>
    <w:p>
      <w:pPr>
        <w:pStyle w:val="style0"/>
        <w:rPr/>
      </w:pPr>
      <w:r>
        <w:t xml:space="preserve">                &lt;label class="option-label"&gt;&lt;input type="radio" name="q30" value="B"&gt; B) Ramipril&lt;/label&gt;</w:t>
      </w:r>
    </w:p>
    <w:p>
      <w:pPr>
        <w:pStyle w:val="style0"/>
        <w:rPr/>
      </w:pPr>
      <w:r>
        <w:t xml:space="preserve">                &lt;label class="option-label"&gt;&lt;input type="radio" name="q30" value="C"&gt; C) Amlodipine&lt;/label&gt;</w:t>
      </w:r>
    </w:p>
    <w:p>
      <w:pPr>
        <w:pStyle w:val="style0"/>
        <w:rPr/>
      </w:pPr>
      <w:r>
        <w:t xml:space="preserve">                &lt;label class="option-label"&gt;&lt;input type="radio" name="q30" value="D"&gt; D) Furosemide&lt;/label&gt;</w:t>
      </w:r>
    </w:p>
    <w:p>
      <w:pPr>
        <w:pStyle w:val="style0"/>
        <w:rPr/>
      </w:pPr>
      <w:r>
        <w:t xml:space="preserve">                &lt;label class="option-label"&gt;&lt;input type="radio" name="q30" value="E"&gt; E) Indapamide&lt;/label&gt;</w:t>
      </w:r>
    </w:p>
    <w:p>
      <w:pPr>
        <w:pStyle w:val="style0"/>
        <w:rPr/>
      </w:pPr>
      <w:r>
        <w:t xml:space="preserve">            &lt;/div&gt;</w:t>
      </w:r>
    </w:p>
    <w:p>
      <w:pPr>
        <w:pStyle w:val="style0"/>
        <w:rPr/>
      </w:pPr>
      <w:r>
        <w:t xml:space="preserve">            &lt;div class="explanation-box" id="exp-q30"&gt;</w:t>
      </w:r>
    </w:p>
    <w:p>
      <w:pPr>
        <w:pStyle w:val="style0"/>
        <w:rPr/>
      </w:pPr>
      <w:r>
        <w:t xml:space="preserve">                &lt;strong&gt;Correct Answer: B&lt;/strong&gt;&lt;br&gt;</w:t>
      </w:r>
    </w:p>
    <w:p>
      <w:pPr>
        <w:pStyle w:val="style0"/>
        <w:rPr/>
      </w:pPr>
      <w:r>
        <w:t xml:space="preserve">                &lt;ul&gt;</w:t>
      </w:r>
    </w:p>
    <w:p>
      <w:pPr>
        <w:pStyle w:val="style0"/>
        <w:rPr/>
      </w:pPr>
      <w:r>
        <w:t xml:space="preserve">                    &lt;li&gt;&lt;strong&gt;Why B is correct:&lt;/strong&gt; ACE inhibitors like Ramipril inhibit angiotensin II production, which leads to decreased aldosterone secretion from the adrenal cortex. Because aldosterone promotes potassium excretion in the kidneys, reducing its levels can result in potassium retention and hyperkalemia. This risk is higher in patients with diabetes, who may have baseline hyporeninemic hypoaldosteronism or renal impairment.&lt;/li&gt;</w:t>
      </w:r>
    </w:p>
    <w:p>
      <w:pPr>
        <w:pStyle w:val="style0"/>
        <w:rPr/>
      </w:pPr>
      <w:r>
        <w:t xml:space="preserve">                    &lt;li&gt;&lt;strong&gt;Why others are incorrect:&lt;/strong&gt; A, D, and E are potassium-wasting diuretics that typically lower serum potassium levels rather than raising them. C (Amlodipine) is a calcium channel blocker that has a neutral effect on serum potassium levels.&lt;/li&gt;</w:t>
      </w:r>
    </w:p>
    <w:p>
      <w:pPr>
        <w:pStyle w:val="style0"/>
        <w:rPr/>
      </w:pPr>
      <w:r>
        <w:t xml:space="preserve">                &lt;/ul&gt;</w:t>
      </w:r>
    </w:p>
    <w:p>
      <w:pPr>
        <w:pStyle w:val="style0"/>
        <w:rPr/>
      </w:pPr>
      <w:r>
        <w:t xml:space="preserve">                &lt;div class="clinical-pearl"&gt;⭐ PEBC PEARL: ACE inhibitors and ARBs provide important cardiorenal benefits for patients with diabetes, but they require monitoring of serum creatinine and potassium. A mild elevation in creatinine (up to 30% from baseline) is acceptable upon initiation, but significant hyperkalemia (&gt;5.5 mmol/L) requires careful evaluation and management.&lt;/div&gt;</w:t>
      </w:r>
    </w:p>
    <w:p>
      <w:pPr>
        <w:pStyle w:val="style0"/>
        <w:rPr/>
      </w:pPr>
      <w:r>
        <w:t xml:space="preserve">            &lt;/div&gt;</w:t>
      </w:r>
    </w:p>
    <w:p>
      <w:pPr>
        <w:pStyle w:val="style0"/>
        <w:rPr/>
      </w:pPr>
      <w:r>
        <w:t xml:space="preserve">        &lt;/div&gt;</w:t>
      </w:r>
    </w:p>
    <w:p>
      <w:pPr>
        <w:pStyle w:val="style0"/>
        <w:rPr/>
      </w:pPr>
    </w:p>
    <w:p>
      <w:pPr>
        <w:pStyle w:val="style0"/>
        <w:rPr/>
      </w:pPr>
      <w:r>
        <w:t xml:space="preserve">        &lt;button type="button" class="submit-btn" onclick="scoreQuiz()"&gt;Submit and Score Exam&lt;/button&gt;</w:t>
      </w:r>
    </w:p>
    <w:p>
      <w:pPr>
        <w:pStyle w:val="style0"/>
        <w:rPr/>
      </w:pPr>
      <w:r>
        <w:t xml:space="preserve">    &lt;/form&gt;</w:t>
      </w:r>
    </w:p>
    <w:p>
      <w:pPr>
        <w:pStyle w:val="style0"/>
        <w:rPr/>
      </w:pPr>
    </w:p>
    <w:p>
      <w:pPr>
        <w:pStyle w:val="style0"/>
        <w:rPr/>
      </w:pPr>
      <w:r>
        <w:t xml:space="preserve">    &lt;div id="result-banner"&gt;&lt;/div&gt;</w:t>
      </w:r>
    </w:p>
    <w:p>
      <w:pPr>
        <w:pStyle w:val="style0"/>
        <w:rPr/>
      </w:pPr>
      <w:r>
        <w:t>&lt;/div&gt;</w:t>
      </w:r>
    </w:p>
    <w:p>
      <w:pPr>
        <w:pStyle w:val="style0"/>
        <w:rPr/>
      </w:pPr>
    </w:p>
    <w:p>
      <w:pPr>
        <w:pStyle w:val="style0"/>
        <w:rPr/>
      </w:pPr>
      <w:r>
        <w:t>&lt;script&gt;</w:t>
      </w:r>
    </w:p>
    <w:p>
      <w:pPr>
        <w:pStyle w:val="style0"/>
        <w:rPr/>
      </w:pPr>
      <w:r>
        <w:t xml:space="preserve">    const correctAnswers = {</w:t>
      </w:r>
    </w:p>
    <w:p>
      <w:pPr>
        <w:pStyle w:val="style0"/>
        <w:rPr/>
      </w:pPr>
      <w:r>
        <w:t xml:space="preserve">        q1: 'B', q2: 'C', q3: 'B', q4: 'B', q5: 'A',</w:t>
      </w:r>
    </w:p>
    <w:p>
      <w:pPr>
        <w:pStyle w:val="style0"/>
        <w:rPr/>
      </w:pPr>
      <w:r>
        <w:t xml:space="preserve">        q6: 'C', q7: 'B', q8: 'B', q9: 'A', q10: 'B',</w:t>
      </w:r>
    </w:p>
    <w:p>
      <w:pPr>
        <w:pStyle w:val="style0"/>
        <w:rPr/>
      </w:pPr>
      <w:r>
        <w:t xml:space="preserve">        q11: 'B', q12: 'B', q13: 'C', q14: 'B', q15: 'B',</w:t>
      </w:r>
    </w:p>
    <w:p>
      <w:pPr>
        <w:pStyle w:val="style0"/>
        <w:rPr/>
      </w:pPr>
      <w:r>
        <w:t xml:space="preserve">        q16: 'C', q17: 'B', q18: 'C', q19: 'B', q20: 'C',</w:t>
      </w:r>
    </w:p>
    <w:p>
      <w:pPr>
        <w:pStyle w:val="style0"/>
        <w:rPr/>
      </w:pPr>
      <w:r>
        <w:t xml:space="preserve">        q21: 'B', q22: 'B', q23: 'B', q24: 'C', q25: 'B',</w:t>
      </w:r>
    </w:p>
    <w:p>
      <w:pPr>
        <w:pStyle w:val="style0"/>
        <w:rPr/>
      </w:pPr>
      <w:r>
        <w:t xml:space="preserve">        q26: 'B', q27: 'B', q28: 'B', q29: 'B', q30: 'B'</w:t>
      </w:r>
    </w:p>
    <w:p>
      <w:pPr>
        <w:pStyle w:val="style0"/>
        <w:rPr/>
      </w:pPr>
      <w:r>
        <w:t xml:space="preserve">    };</w:t>
      </w:r>
    </w:p>
    <w:p>
      <w:pPr>
        <w:pStyle w:val="style0"/>
        <w:rPr/>
      </w:pPr>
    </w:p>
    <w:p>
      <w:pPr>
        <w:pStyle w:val="style0"/>
        <w:rPr/>
      </w:pPr>
      <w:r>
        <w:t xml:space="preserve">    function scoreQuiz() {</w:t>
      </w:r>
    </w:p>
    <w:p>
      <w:pPr>
        <w:pStyle w:val="style0"/>
        <w:rPr/>
      </w:pPr>
      <w:r>
        <w:t xml:space="preserve">        let score = 0;</w:t>
      </w:r>
    </w:p>
    <w:p>
      <w:pPr>
        <w:pStyle w:val="style0"/>
        <w:rPr/>
      </w:pPr>
      <w:r>
        <w:t xml:space="preserve">        const totalQuestions = 30;</w:t>
      </w:r>
    </w:p>
    <w:p>
      <w:pPr>
        <w:pStyle w:val="style0"/>
        <w:rPr/>
      </w:pPr>
      <w:r>
        <w:t xml:space="preserve">        const form = document.getElementById('quizForm');</w:t>
      </w:r>
    </w:p>
    <w:p>
      <w:pPr>
        <w:pStyle w:val="style0"/>
        <w:rPr/>
      </w:pPr>
    </w:p>
    <w:p>
      <w:pPr>
        <w:pStyle w:val="style0"/>
        <w:rPr/>
      </w:pPr>
      <w:r>
        <w:t xml:space="preserve">        for (let i = 1; i &lt;= totalQuestions; i++) {</w:t>
      </w:r>
    </w:p>
    <w:p>
      <w:pPr>
        <w:pStyle w:val="style0"/>
        <w:rPr/>
      </w:pPr>
      <w:r>
        <w:t xml:space="preserve">            const qName = 'q' + i;</w:t>
      </w:r>
    </w:p>
    <w:p>
      <w:pPr>
        <w:pStyle w:val="style0"/>
        <w:rPr/>
      </w:pPr>
      <w:r>
        <w:t xml:space="preserve">            const selected = form.elements[qName].value;</w:t>
      </w:r>
    </w:p>
    <w:p>
      <w:pPr>
        <w:pStyle w:val="style0"/>
        <w:rPr/>
      </w:pPr>
      <w:r>
        <w:t xml:space="preserve">            const correctValue = correctAnswers[qName];</w:t>
      </w:r>
    </w:p>
    <w:p>
      <w:pPr>
        <w:pStyle w:val="style0"/>
        <w:rPr/>
      </w:pPr>
      <w:r>
        <w:t xml:space="preserve">            const qBox = document.getElementById(qName + '-box');</w:t>
      </w:r>
    </w:p>
    <w:p>
      <w:pPr>
        <w:pStyle w:val="style0"/>
        <w:rPr/>
      </w:pPr>
      <w:r>
        <w:t xml:space="preserve">            const expBox = document.getElementById('exp-' + qName);</w:t>
      </w:r>
    </w:p>
    <w:p>
      <w:pPr>
        <w:pStyle w:val="style0"/>
        <w:rPr/>
      </w:pPr>
      <w:r>
        <w:t xml:space="preserve">            </w:t>
      </w:r>
    </w:p>
    <w:p>
      <w:pPr>
        <w:pStyle w:val="style0"/>
        <w:rPr/>
      </w:pPr>
      <w:r>
        <w:t xml:space="preserve">            // Reveal explanations</w:t>
      </w:r>
    </w:p>
    <w:p>
      <w:pPr>
        <w:pStyle w:val="style0"/>
        <w:rPr/>
      </w:pPr>
      <w:r>
        <w:t xml:space="preserve">            if (expBox) expBox.style.display = 'block';</w:t>
      </w:r>
    </w:p>
    <w:p>
      <w:pPr>
        <w:pStyle w:val="style0"/>
        <w:rPr/>
      </w:pPr>
    </w:p>
    <w:p>
      <w:pPr>
        <w:pStyle w:val="style0"/>
        <w:rPr/>
      </w:pPr>
      <w:r>
        <w:t xml:space="preserve">            // Reset classifications</w:t>
      </w:r>
    </w:p>
    <w:p>
      <w:pPr>
        <w:pStyle w:val="style0"/>
        <w:rPr/>
      </w:pPr>
      <w:r>
        <w:t xml:space="preserve">            const optionsLabels = qBox.getElementsByClassName('option-label');</w:t>
      </w:r>
    </w:p>
    <w:p>
      <w:pPr>
        <w:pStyle w:val="style0"/>
        <w:rPr/>
      </w:pPr>
      <w:r>
        <w:t xml:space="preserve">            for(let label of optionsLabels) {</w:t>
      </w:r>
    </w:p>
    <w:p>
      <w:pPr>
        <w:pStyle w:val="style0"/>
        <w:rPr/>
      </w:pPr>
      <w:r>
        <w:t xml:space="preserve">                label.classList.remove('correct', 'incorrect');</w:t>
      </w:r>
    </w:p>
    <w:p>
      <w:pPr>
        <w:pStyle w:val="style0"/>
        <w:rPr/>
      </w:pPr>
      <w:r>
        <w:t xml:space="preserve">            }</w:t>
      </w:r>
    </w:p>
    <w:p>
      <w:pPr>
        <w:pStyle w:val="style0"/>
        <w:rPr/>
      </w:pPr>
    </w:p>
    <w:p>
      <w:pPr>
        <w:pStyle w:val="style0"/>
        <w:rPr/>
      </w:pPr>
      <w:r>
        <w:t xml:space="preserve">            if (selected === correctValue) {</w:t>
      </w:r>
    </w:p>
    <w:p>
      <w:pPr>
        <w:pStyle w:val="style0"/>
        <w:rPr/>
      </w:pPr>
      <w:r>
        <w:t xml:space="preserve">                score++;</w:t>
      </w:r>
    </w:p>
    <w:p>
      <w:pPr>
        <w:pStyle w:val="style0"/>
        <w:rPr/>
      </w:pPr>
      <w:r>
        <w:t xml:space="preserve">                // Highlight correct selection</w:t>
      </w:r>
    </w:p>
    <w:p>
      <w:pPr>
        <w:pStyle w:val="style0"/>
        <w:rPr/>
      </w:pPr>
      <w:r>
        <w:t xml:space="preserve">                for(let label of optionsLabels) {</w:t>
      </w:r>
    </w:p>
    <w:p>
      <w:pPr>
        <w:pStyle w:val="style0"/>
        <w:rPr/>
      </w:pPr>
      <w:r>
        <w:t xml:space="preserve">                    if(label.innerText.trim().startsWith(correctValue)) {</w:t>
      </w:r>
    </w:p>
    <w:p>
      <w:pPr>
        <w:pStyle w:val="style0"/>
        <w:rPr/>
      </w:pPr>
      <w:r>
        <w:t xml:space="preserve">                        label.classList.add('correct');</w:t>
      </w:r>
    </w:p>
    <w:p>
      <w:pPr>
        <w:pStyle w:val="style0"/>
        <w:rPr/>
      </w:pPr>
      <w:r>
        <w:t xml:space="preserve">                    }</w:t>
      </w:r>
    </w:p>
    <w:p>
      <w:pPr>
        <w:pStyle w:val="style0"/>
        <w:rPr/>
      </w:pPr>
      <w:r>
        <w:t xml:space="preserve">                }</w:t>
      </w:r>
    </w:p>
    <w:p>
      <w:pPr>
        <w:pStyle w:val="style0"/>
        <w:rPr/>
      </w:pPr>
      <w:r>
        <w:t xml:space="preserve">            } else {</w:t>
      </w:r>
    </w:p>
    <w:p>
      <w:pPr>
        <w:pStyle w:val="style0"/>
        <w:rPr/>
      </w:pPr>
      <w:r>
        <w:t xml:space="preserve">                // Find wrong selection and mark it red, mark actual answer green</w:t>
      </w:r>
    </w:p>
    <w:p>
      <w:pPr>
        <w:pStyle w:val="style0"/>
        <w:rPr/>
      </w:pPr>
      <w:r>
        <w:t xml:space="preserve">                for(let label of optionsLabels) {</w:t>
      </w:r>
    </w:p>
    <w:p>
      <w:pPr>
        <w:pStyle w:val="style0"/>
        <w:rPr/>
      </w:pPr>
      <w:r>
        <w:t xml:space="preserve">                    if(selected &amp;&amp; label.innerText.trim().startsWith(selected)) {</w:t>
      </w:r>
    </w:p>
    <w:p>
      <w:pPr>
        <w:pStyle w:val="style0"/>
        <w:rPr/>
      </w:pPr>
      <w:r>
        <w:t xml:space="preserve">                        label.classList.add('incorrect');</w:t>
      </w:r>
    </w:p>
    <w:p>
      <w:pPr>
        <w:pStyle w:val="style0"/>
        <w:rPr/>
      </w:pPr>
      <w:r>
        <w:t xml:space="preserve">                    }</w:t>
      </w:r>
    </w:p>
    <w:p>
      <w:pPr>
        <w:pStyle w:val="style0"/>
        <w:rPr/>
      </w:pPr>
      <w:r>
        <w:t xml:space="preserve">                    if(label.innerText.trim().startsWith(correctValue)) {</w:t>
      </w:r>
    </w:p>
    <w:p>
      <w:pPr>
        <w:pStyle w:val="style0"/>
        <w:rPr/>
      </w:pPr>
      <w:r>
        <w:t xml:space="preserve">                        label.classList.add('correct');</w:t>
      </w:r>
    </w:p>
    <w:p>
      <w:pPr>
        <w:pStyle w:val="style0"/>
        <w:rPr/>
      </w:pPr>
      <w:r>
        <w:t xml:space="preserve">                    }</w:t>
      </w:r>
    </w:p>
    <w:p>
      <w:pPr>
        <w:pStyle w:val="style0"/>
        <w:rPr/>
      </w:pPr>
      <w:r>
        <w:t xml:space="preserve">                }</w:t>
      </w:r>
    </w:p>
    <w:p>
      <w:pPr>
        <w:pStyle w:val="style0"/>
        <w:rPr/>
      </w:pPr>
      <w:r>
        <w:t xml:space="preserve">            }</w:t>
      </w:r>
    </w:p>
    <w:p>
      <w:pPr>
        <w:pStyle w:val="style0"/>
        <w:rPr/>
      </w:pPr>
      <w:r>
        <w:t xml:space="preserve">        }</w:t>
      </w:r>
    </w:p>
    <w:p>
      <w:pPr>
        <w:pStyle w:val="style0"/>
        <w:rPr/>
      </w:pPr>
    </w:p>
    <w:p>
      <w:pPr>
        <w:pStyle w:val="style0"/>
        <w:rPr/>
      </w:pPr>
      <w:r>
        <w:t xml:space="preserve">        // Show Score Banner</w:t>
      </w:r>
    </w:p>
    <w:p>
      <w:pPr>
        <w:pStyle w:val="style0"/>
        <w:rPr/>
      </w:pPr>
      <w:r>
        <w:t xml:space="preserve">        const resultBanner = document.getElementById('result-banner');</w:t>
      </w:r>
    </w:p>
    <w:p>
      <w:pPr>
        <w:pStyle w:val="style0"/>
        <w:rPr/>
      </w:pPr>
      <w:r>
        <w:t xml:space="preserve">        const percentage = Math.round((score / totalQuestions) * 100);</w:t>
      </w:r>
    </w:p>
    <w:p>
      <w:pPr>
        <w:pStyle w:val="style0"/>
        <w:rPr/>
      </w:pPr>
      <w:r>
        <w:t xml:space="preserve">        let feedback = "";</w:t>
      </w:r>
    </w:p>
    <w:p>
      <w:pPr>
        <w:pStyle w:val="style0"/>
        <w:rPr/>
      </w:pPr>
      <w:r>
        <w:t xml:space="preserve">        if (percentage &gt;= 75) {</w:t>
      </w:r>
    </w:p>
    <w:p>
      <w:pPr>
        <w:pStyle w:val="style0"/>
        <w:rPr/>
      </w:pPr>
      <w:r>
        <w:t xml:space="preserve">            feedback = "🎉 Excellent Work! You have a solid grasp of Diabetes Canada 2023 Guidelines and complex clinical management.";</w:t>
      </w:r>
    </w:p>
    <w:p>
      <w:pPr>
        <w:pStyle w:val="style0"/>
        <w:rPr/>
      </w:pPr>
      <w:r>
        <w:t xml:space="preserve">        } else if (percentage &gt;= 60) {</w:t>
      </w:r>
    </w:p>
    <w:p>
      <w:pPr>
        <w:pStyle w:val="style0"/>
        <w:rPr/>
      </w:pPr>
      <w:r>
        <w:t xml:space="preserve">            feedback = "👍 Good effort! Review the specific Clinical Pearls and re-test to sharpen your edge.";</w:t>
      </w:r>
    </w:p>
    <w:p>
      <w:pPr>
        <w:pStyle w:val="style0"/>
        <w:rPr/>
      </w:pPr>
      <w:r>
        <w:t xml:space="preserve">        } else {</w:t>
      </w:r>
    </w:p>
    <w:p>
      <w:pPr>
        <w:pStyle w:val="style0"/>
        <w:rPr/>
      </w:pPr>
      <w:r>
        <w:t xml:space="preserve">            feedback = "📚 Review recommended. Spend more time with the Endocrine Study Notes and clinical safety parameters before your exam.";</w:t>
      </w:r>
    </w:p>
    <w:p>
      <w:pPr>
        <w:pStyle w:val="style0"/>
        <w:rPr/>
      </w:pPr>
      <w:r>
        <w:t xml:space="preserve">        }</w:t>
      </w:r>
    </w:p>
    <w:p>
      <w:pPr>
        <w:pStyle w:val="style0"/>
        <w:rPr/>
      </w:pPr>
    </w:p>
    <w:p>
      <w:pPr>
        <w:pStyle w:val="style0"/>
        <w:rPr/>
      </w:pPr>
      <w:r>
        <w:t xml:space="preserve">        resultBanner.innerHTML = `&lt;strong&gt;Your Final Score: ${score} / ${totalQuestions} (${percentage}%)&lt;/strong&gt;&lt;br&gt;&lt;span style='font-size:0.85em;'&gt;${feedback}&lt;/span&gt;`;</w:t>
      </w:r>
    </w:p>
    <w:p>
      <w:pPr>
        <w:pStyle w:val="style0"/>
        <w:rPr/>
      </w:pPr>
      <w:r>
        <w:t xml:space="preserve">        resultBanner.style.display = 'block';</w:t>
      </w:r>
    </w:p>
    <w:p>
      <w:pPr>
        <w:pStyle w:val="style0"/>
        <w:rPr/>
      </w:pPr>
      <w:r>
        <w:t xml:space="preserve">        window.scrollTo({ top: resultBanner.offsetTop, behavior: 'smooth' });</w:t>
      </w:r>
    </w:p>
    <w:p>
      <w:pPr>
        <w:pStyle w:val="style0"/>
        <w:rPr/>
      </w:pPr>
      <w:r>
        <w:t xml:space="preserve">    }</w:t>
      </w:r>
    </w:p>
    <w:p>
      <w:pPr>
        <w:pStyle w:val="style0"/>
        <w:rPr/>
      </w:pPr>
      <w:r>
        <w:t>&lt;/script&gt;</w:t>
      </w:r>
    </w:p>
    <w:p>
      <w:pPr>
        <w:pStyle w:val="style0"/>
        <w:rPr/>
      </w:pPr>
    </w:p>
    <w:p>
      <w:pPr>
        <w:pStyle w:val="style0"/>
        <w:rPr/>
      </w:pPr>
      <w:r>
        <w:t>&lt;/body&gt;</w:t>
      </w:r>
    </w:p>
    <w:p>
      <w:pPr>
        <w:pStyle w:val="style0"/>
        <w:rPr/>
      </w:pPr>
      <w:r>
        <w:t>&lt;/html&gt;</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10234</Words>
  <Characters>71030</Characters>
  <Application>WPS Office</Application>
  <Paragraphs>832</Paragraphs>
  <CharactersWithSpaces>90872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2026-06-13T05:58:18Z</dcterms:created>
  <dc:creator>redbeatM2</dc:creator>
  <lastModifiedBy>redbeatM2</lastModifiedBy>
  <dcterms:modified xsi:type="dcterms:W3CDTF">2026-06-13T05:58:46Z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5b33f884a0a14a188e962f790635c92f</vt:lpwstr>
  </property>
</Properties>
</file>