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d4ed8"/>
          <w:sz w:val="36"/>
          <w:szCs w:val="36"/>
        </w:rPr>
        <w:t xml:space="preserve">Questions for Calin — DropSynth</w:t>
      </w:r>
    </w:p>
    <w:p>
      <w:pPr>
        <w:spacing w:after="40" w:before="0"/>
      </w:pPr>
      <w:r>
        <w:rPr>
          <w:i/>
          <w:iCs/>
          <w:color w:val="6b7280"/>
          <w:sz w:val="20"/>
          <w:szCs w:val="20"/>
        </w:rPr>
        <w:t xml:space="preserve">DNA synthesis governance project  ·  August 2026</w:t>
      </w:r>
    </w:p>
    <w:p>
      <w:pPr>
        <w:spacing w:after="200" w:before="0"/>
      </w:pPr>
      <w:r>
        <w:rPr>
          <w:color w:val="374151"/>
          <w:sz w:val="20"/>
          <w:szCs w:val="20"/>
        </w:rPr>
        <w:t xml:space="preserve">Calin Plesa is a co-developer of DropSynth (Plesa et al., Science 2018; Sidore, Plesa et al., NAR 2020). These questions aim to verify and update the project's current characterisation of DropSynth, particularly its biosecurity implications and the claim that it inherits the provider-screening perimeter through its commercial oligo-pool input.</w:t>
      </w:r>
    </w:p>
    <w:p>
      <w:pPr>
        <w:pBdr>
          <w:bottom w:val="single" w:color="d1d5db" w:sz="6"/>
        </w:pBdr>
        <w:spacing w:after="160" w:before="160"/>
      </w:pPr>
    </w:p>
    <w:p>
      <w:pPr>
        <w:pStyle w:val="Heading2"/>
        <w:spacing w:after="80" w:before="280"/>
      </w:pPr>
      <w:r>
        <w:t xml:space="preserve">Section 1 — Critical biosecurity questions (highest priority)</w:t>
      </w:r>
    </w:p>
    <w:p>
      <w:pPr>
        <w:spacing w:after="60" w:before="220"/>
      </w:pPr>
      <w:r>
        <w:rPr>
          <w:b/>
          <w:bCs/>
          <w:color w:val="1d4ed8"/>
          <w:sz w:val="22"/>
          <w:szCs w:val="22"/>
        </w:rPr>
        <w:t xml:space="preserve">Q1.  </w:t>
      </w:r>
      <w:r>
        <w:rPr>
          <w:b/>
          <w:bCs/>
          <w:color w:val="1a1a1a"/>
          <w:sz w:val="22"/>
          <w:szCs w:val="22"/>
        </w:rPr>
        <w:t xml:space="preserve">Can DropSynth work with self-synthesized oligos — for example, from an OpenIDS inkjet DIY synthesizer — instead of a commercial microarray pool?</w:t>
      </w:r>
    </w:p>
    <w:p>
      <w:pPr>
        <w:spacing w:after="60" w:before="0"/>
        <w:ind w:left="360"/>
      </w:pPr>
      <w:r>
        <w:rPr>
          <w:i/>
          <w:iCs/>
          <w:color w:val="555555"/>
          <w:sz w:val="20"/>
          <w:szCs w:val="20"/>
        </w:rPr>
        <w:t xml:space="preserve">Context: The project's governance claim is that DropSynth inherits the screening perimeter because its oligo pool must be ordered from a commercial provider (Twist, IDT, Agilent arrays). If someone could substitute self-synthesized DIY oligos, that claim breaks and DropSynth becomes an unscreened route.</w:t>
      </w:r>
    </w:p>
    <w:p>
      <w:pPr>
        <w:shd w:fill="f0f4ff" w:val="clear"/>
        <w:spacing w:after="120" w:before="40"/>
        <w:ind w:left="360"/>
      </w:pPr>
      <w:r>
        <w:rPr>
          <w:b/>
          <w:bCs/>
          <w:color w:val="374151"/>
          <w:sz w:val="21"/>
          <w:szCs w:val="21"/>
        </w:rPr>
        <w:t xml:space="preserve">Expected answer: </w:t>
      </w:r>
      <w:r>
        <w:rPr>
          <w:color w:val="374151"/>
          <w:sz w:val="21"/>
          <w:szCs w:val="21"/>
        </w:rPr>
        <w:t xml:space="preserve">Almost certainly no — DropSynth requires oligos long enough to carry gene fragment + 12-nt barcode + primer-binding sites, typically 150–200 nt total, at high fidelity. OpenIDS produces 15–30 nt at ~55% full-length, which is far too short and too error-prone for the barcoding scheme to function. Confirmation of this would validate the screening-perimeter claim.</w:t>
      </w:r>
    </w:p>
    <w:p>
      <w:pPr>
        <w:spacing w:after="60" w:before="220"/>
      </w:pPr>
      <w:r>
        <w:rPr>
          <w:b/>
          <w:bCs/>
          <w:color w:val="1d4ed8"/>
          <w:sz w:val="22"/>
          <w:szCs w:val="22"/>
        </w:rPr>
        <w:t xml:space="preserve">Q2.  </w:t>
      </w:r>
      <w:r>
        <w:rPr>
          <w:b/>
          <w:bCs/>
          <w:color w:val="1a1a1a"/>
          <w:sz w:val="22"/>
          <w:szCs w:val="22"/>
        </w:rPr>
        <w:t xml:space="preserve">What is the minimum oligo quality and length that DropSynth assembly actually requires?</w:t>
      </w:r>
    </w:p>
    <w:p>
      <w:pPr>
        <w:spacing w:after="60" w:before="0"/>
        <w:ind w:left="360"/>
      </w:pPr>
      <w:r>
        <w:rPr>
          <w:i/>
          <w:iCs/>
          <w:color w:val="555555"/>
          <w:sz w:val="20"/>
          <w:szCs w:val="20"/>
        </w:rPr>
        <w:t xml:space="preserve">Context: This sets the technical floor for any DIY oligo substitution attempt and for understanding which providers' output is compatible.</w:t>
      </w:r>
    </w:p>
    <w:p>
      <w:pPr>
        <w:shd w:fill="f0f4ff" w:val="clear"/>
        <w:spacing w:after="120" w:before="40"/>
        <w:ind w:left="360"/>
      </w:pPr>
      <w:r>
        <w:rPr>
          <w:b/>
          <w:bCs/>
          <w:color w:val="374151"/>
          <w:sz w:val="21"/>
          <w:szCs w:val="21"/>
        </w:rPr>
        <w:t xml:space="preserve">Expected answer: </w:t>
      </w:r>
      <w:r>
        <w:rPr>
          <w:color w:val="374151"/>
          <w:sz w:val="21"/>
          <w:szCs w:val="21"/>
        </w:rPr>
        <w:t xml:space="preserve">Likely: oligos need to be ~150–200 nt, predominantly full-length (&gt;90%), with specific barcode architecture. This rules out any current DIY synthesizer output and means the oligo pool must come from a high-quality array synthesis provider — confirming the screening-perimeter inheritance.</w:t>
      </w:r>
    </w:p>
    <w:p>
      <w:pPr>
        <w:spacing w:after="60" w:before="220"/>
      </w:pPr>
      <w:r>
        <w:rPr>
          <w:b/>
          <w:bCs/>
          <w:color w:val="1d4ed8"/>
          <w:sz w:val="22"/>
          <w:szCs w:val="22"/>
        </w:rPr>
        <w:t xml:space="preserve">Q3.  </w:t>
      </w:r>
      <w:r>
        <w:rPr>
          <w:b/>
          <w:bCs/>
          <w:color w:val="1a1a1a"/>
          <w:sz w:val="22"/>
          <w:szCs w:val="22"/>
        </w:rPr>
        <w:t xml:space="preserve">Has anyone reported or attempted DropSynth using a non-commercial or non-screened oligo source?</w:t>
      </w:r>
    </w:p>
    <w:p>
      <w:pPr>
        <w:spacing w:after="60" w:before="0"/>
        <w:ind w:left="360"/>
      </w:pPr>
      <w:r>
        <w:rPr>
          <w:i/>
          <w:iCs/>
          <w:color w:val="555555"/>
          <w:sz w:val="20"/>
          <w:szCs w:val="20"/>
        </w:rPr>
        <w:t xml:space="preserve">Context: Any published or informal reports of homebrew or non-provider oligo pools would represent a gap in the governance claim.</w:t>
      </w:r>
    </w:p>
    <w:p>
      <w:pPr>
        <w:shd w:fill="f0f4ff" w:val="clear"/>
        <w:spacing w:after="120" w:before="40"/>
        <w:ind w:left="360"/>
      </w:pPr>
      <w:r>
        <w:rPr>
          <w:b/>
          <w:bCs/>
          <w:color w:val="374151"/>
          <w:sz w:val="21"/>
          <w:szCs w:val="21"/>
        </w:rPr>
        <w:t xml:space="preserve">Expected answer: </w:t>
      </w:r>
      <w:r>
        <w:rPr>
          <w:color w:val="374151"/>
          <w:sz w:val="21"/>
          <w:szCs w:val="21"/>
        </w:rPr>
        <w:t xml:space="preserve">Probably no — the method has been used almost exclusively in academic labs with commercial microarray providers. But worth confirming there's no preprint or lab report of a workaround.</w:t>
      </w:r>
    </w:p>
    <w:p>
      <w:pPr>
        <w:pBdr>
          <w:bottom w:val="single" w:color="d1d5db" w:sz="6"/>
        </w:pBdr>
        <w:spacing w:after="160" w:before="160"/>
      </w:pPr>
    </w:p>
    <w:p>
      <w:pPr>
        <w:pStyle w:val="Heading2"/>
        <w:spacing w:after="80" w:before="280"/>
      </w:pPr>
      <w:r>
        <w:t xml:space="preserve">Section 2 — Technical parameters currently in the project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The project currently reports the following figures for DropSynth. Please verify or correct each:</w:t>
      </w:r>
    </w:p>
    <w:p>
      <w:pPr>
        <w:shd w:fill="e2e8f0" w:val="clear"/>
        <w:spacing w:after="120" w:before="80"/>
        <w:ind w:left="360"/>
      </w:pPr>
      <w:r>
        <w:rPr>
          <w:b/>
          <w:bCs/>
          <w:color w:val="1a1a1a"/>
          <w:sz w:val="21"/>
          <w:szCs w:val="21"/>
        </w:rPr>
        <w:t xml:space="preserve">  TRL: </w:t>
      </w:r>
      <w:r>
        <w:rPr>
          <w:color w:val="1a1a1a"/>
          <w:sz w:val="21"/>
          <w:szCs w:val="21"/>
        </w:rPr>
        <w:t xml:space="preserve">4 (lab-validated research prototype)  </w:t>
      </w:r>
      <w:r>
        <w:rPr>
          <w:b/>
          <w:bCs/>
          <w:color w:val="1a1a1a"/>
          <w:sz w:val="21"/>
          <w:szCs w:val="21"/>
        </w:rPr>
        <w:t xml:space="preserve">  Capital: </w:t>
      </w:r>
      <w:r>
        <w:rPr>
          <w:color w:val="1a1a1a"/>
          <w:sz w:val="21"/>
          <w:szCs w:val="21"/>
        </w:rPr>
        <w:t xml:space="preserve">~$3,400 bead pool (~200 reactions)  </w:t>
      </w:r>
      <w:r>
        <w:rPr>
          <w:b/>
          <w:bCs/>
          <w:color w:val="1a1a1a"/>
          <w:sz w:val="21"/>
          <w:szCs w:val="21"/>
        </w:rPr>
        <w:t xml:space="preserve">  Cost/gene: </w:t>
      </w:r>
      <w:r>
        <w:rPr>
          <w:color w:val="1a1a1a"/>
          <w:sz w:val="21"/>
          <w:szCs w:val="21"/>
        </w:rPr>
        <w:t xml:space="preserve">$0.72–1.24/gene (Sidore 2020)  </w:t>
      </w:r>
      <w:r>
        <w:rPr>
          <w:b/>
          <w:bCs/>
          <w:color w:val="1a1a1a"/>
          <w:sz w:val="21"/>
          <w:szCs w:val="21"/>
        </w:rPr>
        <w:t xml:space="preserve">  Assembled length: </w:t>
      </w:r>
      <w:r>
        <w:rPr>
          <w:color w:val="1a1a1a"/>
          <w:sz w:val="21"/>
          <w:szCs w:val="21"/>
        </w:rPr>
        <w:t xml:space="preserve">~1–3 kb  </w:t>
      </w:r>
      <w:r>
        <w:rPr>
          <w:b/>
          <w:bCs/>
          <w:color w:val="1a1a1a"/>
          <w:sz w:val="21"/>
          <w:szCs w:val="21"/>
        </w:rPr>
        <w:t xml:space="preserve">  Perfect assembly: </w:t>
      </w:r>
      <w:r>
        <w:rPr>
          <w:color w:val="1a1a1a"/>
          <w:sz w:val="21"/>
          <w:szCs w:val="21"/>
        </w:rPr>
        <w:t xml:space="preserve">~25%</w:t>
      </w:r>
    </w:p>
    <w:p>
      <w:pPr>
        <w:spacing w:after="60" w:before="220"/>
      </w:pPr>
      <w:r>
        <w:rPr>
          <w:b/>
          <w:bCs/>
          <w:color w:val="1d4ed8"/>
          <w:sz w:val="22"/>
          <w:szCs w:val="22"/>
        </w:rPr>
        <w:t xml:space="preserve">Q4.  </w:t>
      </w:r>
      <w:r>
        <w:rPr>
          <w:b/>
          <w:bCs/>
          <w:color w:val="1a1a1a"/>
          <w:sz w:val="22"/>
          <w:szCs w:val="22"/>
        </w:rPr>
        <w:t xml:space="preserve">Are the $3,400 bead-pool cost and $0.72–1.24/gene figure from Sidore 2020 still current? Has the cost changed?</w:t>
      </w:r>
    </w:p>
    <w:p>
      <w:pPr>
        <w:spacing w:after="60" w:before="0"/>
        <w:ind w:left="360"/>
      </w:pPr>
      <w:r>
        <w:rPr>
          <w:i/>
          <w:iCs/>
          <w:color w:val="555555"/>
          <w:sz w:val="20"/>
          <w:szCs w:val="20"/>
        </w:rPr>
        <w:t xml:space="preserve">Context: Six years is a long time; costs may have shifted. The bead pool is the main capital item in the project's characterisation.</w:t>
      </w:r>
    </w:p>
    <w:p>
      <w:pPr>
        <w:shd w:fill="f0f4ff" w:val="clear"/>
        <w:spacing w:after="120" w:before="40"/>
        <w:ind w:left="360"/>
      </w:pPr>
      <w:r>
        <w:rPr>
          <w:b/>
          <w:bCs/>
          <w:color w:val="374151"/>
          <w:sz w:val="21"/>
          <w:szCs w:val="21"/>
        </w:rPr>
        <w:t xml:space="preserve">Expected answer: </w:t>
      </w:r>
      <w:r>
        <w:rPr>
          <w:color w:val="374151"/>
          <w:sz w:val="21"/>
          <w:szCs w:val="21"/>
        </w:rPr>
        <w:t xml:space="preserve">Could be lower or higher depending on bead-pool sourcing; the method may now be cheaper if components are more available, or the project may need to note the figure is from 2020 and flag it as uncertain.</w:t>
      </w:r>
    </w:p>
    <w:p>
      <w:pPr>
        <w:spacing w:after="60" w:before="220"/>
      </w:pPr>
      <w:r>
        <w:rPr>
          <w:b/>
          <w:bCs/>
          <w:color w:val="1d4ed8"/>
          <w:sz w:val="22"/>
          <w:szCs w:val="22"/>
        </w:rPr>
        <w:t xml:space="preserve">Q5.  </w:t>
      </w:r>
      <w:r>
        <w:rPr>
          <w:b/>
          <w:bCs/>
          <w:color w:val="1a1a1a"/>
          <w:sz w:val="22"/>
          <w:szCs w:val="22"/>
        </w:rPr>
        <w:t xml:space="preserve">What is the practical ceiling for assembled length, and under what conditions?</w:t>
      </w:r>
    </w:p>
    <w:p>
      <w:pPr>
        <w:spacing w:after="60" w:before="0"/>
        <w:ind w:left="360"/>
      </w:pPr>
      <w:r>
        <w:rPr>
          <w:i/>
          <w:iCs/>
          <w:color w:val="555555"/>
          <w:sz w:val="20"/>
          <w:szCs w:val="20"/>
        </w:rPr>
        <w:t xml:space="preserve">Context: The project says ~1–3 kb. Is 3 kb achievable reliably, or is it the optimistic edge? What does hierarchical assembly add?</w:t>
      </w:r>
    </w:p>
    <w:p>
      <w:pPr>
        <w:shd w:fill="f0f4ff" w:val="clear"/>
        <w:spacing w:after="120" w:before="40"/>
        <w:ind w:left="360"/>
      </w:pPr>
      <w:r>
        <w:rPr>
          <w:b/>
          <w:bCs/>
          <w:color w:val="374151"/>
          <w:sz w:val="21"/>
          <w:szCs w:val="21"/>
        </w:rPr>
        <w:t xml:space="preserve">Expected answer: </w:t>
      </w:r>
      <w:r>
        <w:rPr>
          <w:color w:val="374151"/>
          <w:sz w:val="21"/>
          <w:szCs w:val="21"/>
        </w:rPr>
        <w:t xml:space="preserve">1–2 kb is probably the reliable range for a single fragment from one pool; 3 kb requires careful design and error correction. Longer genes need hierarchical assembly (multiple pools, additional ligation/PCR steps), which adds expertise and cost.</w:t>
      </w:r>
    </w:p>
    <w:p>
      <w:pPr>
        <w:spacing w:after="60" w:before="220"/>
      </w:pPr>
      <w:r>
        <w:rPr>
          <w:b/>
          <w:bCs/>
          <w:color w:val="1d4ed8"/>
          <w:sz w:val="22"/>
          <w:szCs w:val="22"/>
        </w:rPr>
        <w:t xml:space="preserve">Q6.  </w:t>
      </w:r>
      <w:r>
        <w:rPr>
          <w:b/>
          <w:bCs/>
          <w:color w:val="1a1a1a"/>
          <w:sz w:val="22"/>
          <w:szCs w:val="22"/>
        </w:rPr>
        <w:t xml:space="preserve">What is the realistic perfect-assembly fraction without error correction, and what error-correction step is required to get to a usable product?</w:t>
      </w:r>
    </w:p>
    <w:p>
      <w:pPr>
        <w:spacing w:after="60" w:before="0"/>
        <w:ind w:left="360"/>
      </w:pPr>
      <w:r>
        <w:rPr>
          <w:i/>
          <w:iCs/>
          <w:color w:val="555555"/>
          <w:sz w:val="20"/>
          <w:szCs w:val="20"/>
        </w:rPr>
        <w:t xml:space="preserve">Context: The project cites ~25% perfect. The pipeline after assembly (mismatch cleavage, clonal selection, Sanger verification) is characterised as a significant barrier.</w:t>
      </w:r>
    </w:p>
    <w:p>
      <w:pPr>
        <w:shd w:fill="f0f4ff" w:val="clear"/>
        <w:spacing w:after="120" w:before="40"/>
        <w:ind w:left="360"/>
      </w:pPr>
      <w:r>
        <w:rPr>
          <w:b/>
          <w:bCs/>
          <w:color w:val="374151"/>
          <w:sz w:val="21"/>
          <w:szCs w:val="21"/>
        </w:rPr>
        <w:t xml:space="preserve">Expected answer: </w:t>
      </w:r>
      <w:r>
        <w:rPr>
          <w:color w:val="374151"/>
          <w:sz w:val="21"/>
          <w:szCs w:val="21"/>
        </w:rPr>
        <w:t xml:space="preserve">~25% correct without error correction is plausible; with MutS-based or SURVEYOR mismatch cleavage, correct products can be enriched substantially. But clonal selection and verification still require transformation, colony picking, and sequencing — a multi-day pipeline beyond the synthesizer itself.</w:t>
      </w:r>
    </w:p>
    <w:p>
      <w:pPr>
        <w:spacing w:after="60" w:before="220"/>
      </w:pPr>
      <w:r>
        <w:rPr>
          <w:b/>
          <w:bCs/>
          <w:color w:val="1d4ed8"/>
          <w:sz w:val="22"/>
          <w:szCs w:val="22"/>
        </w:rPr>
        <w:t xml:space="preserve">Q7.  </w:t>
      </w:r>
      <w:r>
        <w:rPr>
          <w:b/>
          <w:bCs/>
          <w:color w:val="1a1a1a"/>
          <w:sz w:val="22"/>
          <w:szCs w:val="22"/>
        </w:rPr>
        <w:t xml:space="preserve">How would you characterise the expertise barrier? The project scores it 8/10 — high bioinformatics + careful bench execution, but no fabrication.</w:t>
      </w:r>
    </w:p>
    <w:p>
      <w:pPr>
        <w:spacing w:after="60" w:before="0"/>
        <w:ind w:left="360"/>
      </w:pPr>
      <w:r>
        <w:rPr>
          <w:i/>
          <w:iCs/>
          <w:color w:val="555555"/>
          <w:sz w:val="20"/>
          <w:szCs w:val="20"/>
        </w:rPr>
        <w:t xml:space="preserve">Context: The project distinguishes the expertise barrier (high) from the equipment barrier (low — just thermocycler, magnet, vortex). The question is whether that expertise is becoming more accessible.</w:t>
      </w:r>
    </w:p>
    <w:p>
      <w:pPr>
        <w:shd w:fill="f0f4ff" w:val="clear"/>
        <w:spacing w:after="120" w:before="40"/>
        <w:ind w:left="360"/>
      </w:pPr>
      <w:r>
        <w:rPr>
          <w:b/>
          <w:bCs/>
          <w:color w:val="374151"/>
          <w:sz w:val="21"/>
          <w:szCs w:val="21"/>
        </w:rPr>
        <w:t xml:space="preserve">Expected answer: </w:t>
      </w:r>
      <w:r>
        <w:rPr>
          <w:color w:val="374151"/>
          <w:sz w:val="21"/>
          <w:szCs w:val="21"/>
        </w:rPr>
        <w:t xml:space="preserve">Probably accurate: designing the barcode scheme, tiling the gene across oligos, running the assembly correctly, and troubleshooting low yield requires real molecular biology competence. It's not fabrication-gated but it's not trivial.</w:t>
      </w:r>
    </w:p>
    <w:p>
      <w:pPr>
        <w:pBdr>
          <w:bottom w:val="single" w:color="d1d5db" w:sz="6"/>
        </w:pBdr>
        <w:spacing w:after="160" w:before="160"/>
      </w:pPr>
    </w:p>
    <w:p>
      <w:pPr>
        <w:pStyle w:val="Heading2"/>
        <w:spacing w:after="80" w:before="280"/>
      </w:pPr>
      <w:r>
        <w:t xml:space="preserve">Section 3 — OMEGA and current field status</w:t>
      </w:r>
    </w:p>
    <w:p>
      <w:pPr>
        <w:spacing w:after="60" w:before="220"/>
      </w:pPr>
      <w:r>
        <w:rPr>
          <w:b/>
          <w:bCs/>
          <w:color w:val="1d4ed8"/>
          <w:sz w:val="22"/>
          <w:szCs w:val="22"/>
        </w:rPr>
        <w:t xml:space="preserve">Q8.  </w:t>
      </w:r>
      <w:r>
        <w:rPr>
          <w:b/>
          <w:bCs/>
          <w:color w:val="1a1a1a"/>
          <w:sz w:val="22"/>
          <w:szCs w:val="22"/>
        </w:rPr>
        <w:t xml:space="preserve">What is your view of OMEGA (Romero lab, bioRxiv 2025) — pooled Golden-Gate assembly without beads or emulsion at ~$1.50/gene, up to ~2.6 kb? Is it a direct successor to DropSynth, and does it still require a commercial oligo pool?</w:t>
      </w:r>
    </w:p>
    <w:p>
      <w:pPr>
        <w:spacing w:after="60" w:before="0"/>
        <w:ind w:left="360"/>
      </w:pPr>
      <w:r>
        <w:rPr>
          <w:i/>
          <w:iCs/>
          <w:color w:val="555555"/>
          <w:sz w:val="20"/>
          <w:szCs w:val="20"/>
        </w:rPr>
        <w:t xml:space="preserve">Context: The project notes OMEGA as a 2025 alternative that removes the bead pool. If it also uses commercial microarray oligos, the screening-perimeter claim holds. If it opens a route to cheaper or non-commercial oligo sources, that changes the analysis.</w:t>
      </w:r>
    </w:p>
    <w:p>
      <w:pPr>
        <w:shd w:fill="f0f4ff" w:val="clear"/>
        <w:spacing w:after="120" w:before="40"/>
        <w:ind w:left="360"/>
      </w:pPr>
      <w:r>
        <w:rPr>
          <w:b/>
          <w:bCs/>
          <w:color w:val="374151"/>
          <w:sz w:val="21"/>
          <w:szCs w:val="21"/>
        </w:rPr>
        <w:t xml:space="preserve">Expected answer: </w:t>
      </w:r>
      <w:r>
        <w:rPr>
          <w:color w:val="374151"/>
          <w:sz w:val="21"/>
          <w:szCs w:val="21"/>
        </w:rPr>
        <w:t xml:space="preserve">OMEGA probably still requires a commercial microarray oligo pool as input — it simplifies the compartmentalisation step, not the upstream oligo synthesis. If that's confirmed, the governance picture is unchanged.</w:t>
      </w:r>
    </w:p>
    <w:p>
      <w:pPr>
        <w:spacing w:after="60" w:before="220"/>
      </w:pPr>
      <w:r>
        <w:rPr>
          <w:b/>
          <w:bCs/>
          <w:color w:val="1d4ed8"/>
          <w:sz w:val="22"/>
          <w:szCs w:val="22"/>
        </w:rPr>
        <w:t xml:space="preserve">Q9.  </w:t>
      </w:r>
      <w:r>
        <w:rPr>
          <w:b/>
          <w:bCs/>
          <w:color w:val="1a1a1a"/>
          <w:sz w:val="22"/>
          <w:szCs w:val="22"/>
        </w:rPr>
        <w:t xml:space="preserve">Is DropSynth being actively developed further, or has the focus shifted to OMEGA or other approaches?</w:t>
      </w:r>
    </w:p>
    <w:p>
      <w:pPr>
        <w:spacing w:after="60" w:before="0"/>
        <w:ind w:left="360"/>
      </w:pPr>
      <w:r>
        <w:rPr>
          <w:i/>
          <w:iCs/>
          <w:color w:val="555555"/>
          <w:sz w:val="20"/>
          <w:szCs w:val="20"/>
        </w:rPr>
        <w:t xml:space="preserve">Context: Helps assess whether the TRL 4 characterisation is still right or whether it's matured further.</w:t>
      </w:r>
    </w:p>
    <w:p>
      <w:pPr>
        <w:shd w:fill="f0f4ff" w:val="clear"/>
        <w:spacing w:after="120" w:before="40"/>
        <w:ind w:left="360"/>
      </w:pPr>
      <w:r>
        <w:rPr>
          <w:b/>
          <w:bCs/>
          <w:color w:val="374151"/>
          <w:sz w:val="21"/>
          <w:szCs w:val="21"/>
        </w:rPr>
        <w:t xml:space="preserve">Expected answer: </w:t>
      </w:r>
      <w:r>
        <w:rPr>
          <w:color w:val="374151"/>
          <w:sz w:val="21"/>
          <w:szCs w:val="21"/>
        </w:rPr>
        <w:t xml:space="preserve">DropSynth 2.0 was the last major paper (2020). If OMEGA or other methods have superseded it, TRL may be somewhat stale as a descriptor.</w:t>
      </w:r>
    </w:p>
    <w:p>
      <w:pPr>
        <w:spacing w:after="60" w:before="220"/>
      </w:pPr>
      <w:r>
        <w:rPr>
          <w:b/>
          <w:bCs/>
          <w:color w:val="1d4ed8"/>
          <w:sz w:val="22"/>
          <w:szCs w:val="22"/>
        </w:rPr>
        <w:t xml:space="preserve">Q10.  </w:t>
      </w:r>
      <w:r>
        <w:rPr>
          <w:b/>
          <w:bCs/>
          <w:color w:val="1a1a1a"/>
          <w:sz w:val="22"/>
          <w:szCs w:val="22"/>
        </w:rPr>
        <w:t xml:space="preserve">Who is actually using DropSynth in practice today, and for what? Has it moved beyond protein-variant library generation?</w:t>
      </w:r>
    </w:p>
    <w:p>
      <w:pPr>
        <w:spacing w:after="60" w:before="0"/>
        <w:ind w:left="360"/>
      </w:pPr>
      <w:r>
        <w:rPr>
          <w:i/>
          <w:iCs/>
          <w:color w:val="555555"/>
          <w:sz w:val="20"/>
          <w:szCs w:val="20"/>
        </w:rPr>
        <w:t xml:space="preserve">Context: The project characterises it primarily as a library method (thousands of variants at once), not a targeted single-gene synthesis tool. Confirming this is important for the governance analysis — targeted single-gene synthesis is the higher-risk use case.</w:t>
      </w:r>
    </w:p>
    <w:p>
      <w:pPr>
        <w:shd w:fill="f0f4ff" w:val="clear"/>
        <w:spacing w:after="120" w:before="40"/>
        <w:ind w:left="360"/>
      </w:pPr>
      <w:r>
        <w:rPr>
          <w:b/>
          <w:bCs/>
          <w:color w:val="374151"/>
          <w:sz w:val="21"/>
          <w:szCs w:val="21"/>
        </w:rPr>
        <w:t xml:space="preserve">Expected answer: </w:t>
      </w:r>
      <w:r>
        <w:rPr>
          <w:color w:val="374151"/>
          <w:sz w:val="21"/>
          <w:szCs w:val="21"/>
        </w:rPr>
        <w:t xml:space="preserve">Almost certainly still used mainly for protein variant libraries (fitness landscapes, CRISPR screen libraries, codon optimisation studies). For a single gene, ordering from IDT or Twist is cheaper, faster, and less work — nobody would use DropSynth for one sequence.</w:t>
      </w:r>
    </w:p>
    <w:p>
      <w:pPr>
        <w:spacing w:after="60" w:before="220"/>
      </w:pPr>
      <w:r>
        <w:rPr>
          <w:b/>
          <w:bCs/>
          <w:color w:val="1d4ed8"/>
          <w:sz w:val="22"/>
          <w:szCs w:val="22"/>
        </w:rPr>
        <w:t xml:space="preserve">Q11.  </w:t>
      </w:r>
      <w:r>
        <w:rPr>
          <w:b/>
          <w:bCs/>
          <w:color w:val="1a1a1a"/>
          <w:sz w:val="22"/>
          <w:szCs w:val="22"/>
        </w:rPr>
        <w:t xml:space="preserve">Has DropSynth been used to assemble any viral or pathogen-derived sequences in published work, and were those oligos ordered through screened providers?</w:t>
      </w:r>
    </w:p>
    <w:p>
      <w:pPr>
        <w:spacing w:after="60" w:before="0"/>
        <w:ind w:left="360"/>
      </w:pPr>
      <w:r>
        <w:rPr>
          <w:i/>
          <w:iCs/>
          <w:color w:val="555555"/>
          <w:sz w:val="20"/>
          <w:szCs w:val="20"/>
        </w:rPr>
        <w:t xml:space="preserve">Context: Not asking for operational detail — just whether there's published precedent and whether provider screening applied to those experiments.</w:t>
      </w:r>
    </w:p>
    <w:p>
      <w:pPr>
        <w:shd w:fill="f0f4ff" w:val="clear"/>
        <w:spacing w:after="120" w:before="40"/>
        <w:ind w:left="360"/>
      </w:pPr>
      <w:r>
        <w:rPr>
          <w:b/>
          <w:bCs/>
          <w:color w:val="374151"/>
          <w:sz w:val="21"/>
          <w:szCs w:val="21"/>
        </w:rPr>
        <w:t xml:space="preserve">Expected answer: </w:t>
      </w:r>
      <w:r>
        <w:rPr>
          <w:color w:val="374151"/>
          <w:sz w:val="21"/>
          <w:szCs w:val="21"/>
        </w:rPr>
        <w:t xml:space="preserve">Any published viral-gene assembly work would have gone through screened providers for the oligo pool. This would confirm the perimeter held in practice.</w:t>
      </w:r>
    </w:p>
    <w:p>
      <w:pPr>
        <w:pBdr>
          <w:bottom w:val="single" w:color="d1d5db" w:sz="6"/>
        </w:pBdr>
        <w:spacing w:after="160" w:before="160"/>
      </w:pPr>
    </w:p>
    <w:p>
      <w:pPr>
        <w:pStyle w:val="Heading2"/>
        <w:spacing w:after="80" w:before="280"/>
      </w:pPr>
      <w:r>
        <w:t xml:space="preserve">Section 4 — Open questions the project would benefit from</w:t>
      </w:r>
    </w:p>
    <w:p>
      <w:pPr>
        <w:spacing w:after="60" w:before="220"/>
      </w:pPr>
      <w:r>
        <w:rPr>
          <w:b/>
          <w:bCs/>
          <w:color w:val="1d4ed8"/>
          <w:sz w:val="22"/>
          <w:szCs w:val="22"/>
        </w:rPr>
        <w:t xml:space="preserve">Q12.  </w:t>
      </w:r>
      <w:r>
        <w:rPr>
          <w:b/>
          <w:bCs/>
          <w:color w:val="1a1a1a"/>
          <w:sz w:val="22"/>
          <w:szCs w:val="22"/>
        </w:rPr>
        <w:t xml:space="preserve">Is there any realistic path to DropSynth-style pooled assembly from a fully unscreened oligo source within the next 5 years?</w:t>
      </w:r>
    </w:p>
    <w:p>
      <w:pPr>
        <w:spacing w:after="60" w:before="0"/>
        <w:ind w:left="360"/>
      </w:pPr>
      <w:r>
        <w:rPr>
          <w:i/>
          <w:iCs/>
          <w:color w:val="555555"/>
          <w:sz w:val="20"/>
          <w:szCs w:val="20"/>
        </w:rPr>
        <w:t xml:space="preserve">Context: Forward-looking: if enzymatic or electrochemical synthesis matures to produce long, high-fidelity oligos at DIY scale, DropSynth could eventually decouple from commercial providers.</w:t>
      </w:r>
    </w:p>
    <w:p>
      <w:pPr>
        <w:shd w:fill="f0f4ff" w:val="clear"/>
        <w:spacing w:after="120" w:before="40"/>
        <w:ind w:left="360"/>
      </w:pPr>
      <w:r>
        <w:rPr>
          <w:b/>
          <w:bCs/>
          <w:color w:val="374151"/>
          <w:sz w:val="21"/>
          <w:szCs w:val="21"/>
        </w:rPr>
        <w:t xml:space="preserve">Expected answer: </w:t>
      </w:r>
      <w:r>
        <w:rPr>
          <w:color w:val="374151"/>
          <w:sz w:val="21"/>
          <w:szCs w:val="21"/>
        </w:rPr>
        <w:t xml:space="preserve">The binding constraint is oligo length and fidelity, not the assembly method itself. Enzymatic synthesis (e.g. SYNTAX at 80–120 nt) is getting closer to the length needed for short-insert DropSynth, but fidelity and throughput for a full pool are still well below what's needed. This is worth flagging as a medium-term governance horizon.</w:t>
      </w:r>
    </w:p>
    <w:p>
      <w:pPr>
        <w:spacing w:after="60" w:before="220"/>
      </w:pPr>
      <w:r>
        <w:rPr>
          <w:b/>
          <w:bCs/>
          <w:color w:val="1d4ed8"/>
          <w:sz w:val="22"/>
          <w:szCs w:val="22"/>
        </w:rPr>
        <w:t xml:space="preserve">Q13.  </w:t>
      </w:r>
      <w:r>
        <w:rPr>
          <w:b/>
          <w:bCs/>
          <w:color w:val="1a1a1a"/>
          <w:sz w:val="22"/>
          <w:szCs w:val="22"/>
        </w:rPr>
        <w:t xml:space="preserve">What would you change or add to the way biosecurity analyses typically characterise DropSynth?</w:t>
      </w:r>
    </w:p>
    <w:p>
      <w:pPr>
        <w:spacing w:after="60" w:before="0"/>
        <w:ind w:left="360"/>
      </w:pPr>
      <w:r>
        <w:rPr>
          <w:i/>
          <w:iCs/>
          <w:color w:val="555555"/>
          <w:sz w:val="20"/>
          <w:szCs w:val="20"/>
        </w:rPr>
        <w:t xml:space="preserve">Context: Calin has probably engaged with this literature and may have a view on what analysts get wrong.</w:t>
      </w:r>
    </w:p>
    <w:p>
      <w:pPr>
        <w:shd w:fill="f0f4ff" w:val="clear"/>
        <w:spacing w:after="120" w:before="40"/>
        <w:ind w:left="360"/>
      </w:pPr>
      <w:r>
        <w:rPr>
          <w:b/>
          <w:bCs/>
          <w:color w:val="374151"/>
          <w:sz w:val="21"/>
          <w:szCs w:val="21"/>
        </w:rPr>
        <w:t xml:space="preserve">Expected answer: </w:t>
      </w:r>
      <w:r>
        <w:rPr>
          <w:color w:val="374151"/>
          <w:sz w:val="21"/>
          <w:szCs w:val="21"/>
        </w:rPr>
        <w:t xml:space="preserve">Open-ended — his answer may surface assumptions the project is making that should be revisited.</w:t>
      </w:r>
    </w:p>
    <w:p>
      <w:pPr>
        <w:pBdr>
          <w:bottom w:val="single" w:color="d1d5db" w:sz="6"/>
        </w:pBdr>
        <w:spacing w:after="160" w:before="160"/>
      </w:pPr>
    </w:p>
    <w:p>
      <w:pPr>
        <w:spacing w:after="60" w:before="120"/>
      </w:pPr>
      <w:r>
        <w:rPr>
          <w:b/>
          <w:bCs/>
          <w:color w:val="374151"/>
          <w:sz w:val="20"/>
          <w:szCs w:val="20"/>
        </w:rPr>
        <w:t xml:space="preserve">References in the project for DropSynth</w:t>
      </w:r>
    </w:p>
    <w:p>
      <w:pPr>
        <w:spacing w:after="40" w:before="40"/>
      </w:pPr>
      <w:r>
        <w:rPr>
          <w:color w:val="555555"/>
          <w:sz w:val="19"/>
          <w:szCs w:val="19"/>
        </w:rPr>
        <w:t xml:space="preserve">Plesa, C., Sidore, A. M., Lubock, N. B., Zhang, D., &amp; Kosuri, S. (2018). Multiplexed gene synthesis in emulsions for exploring protein functional landscapes. Science, 359(6373), 343–347. https://doi.org/10.1126/science.aao5167</w:t>
      </w:r>
    </w:p>
    <w:p>
      <w:pPr>
        <w:spacing w:after="40" w:before="40"/>
      </w:pPr>
      <w:r>
        <w:rPr>
          <w:color w:val="555555"/>
          <w:sz w:val="19"/>
          <w:szCs w:val="19"/>
        </w:rPr>
        <w:t xml:space="preserve">Sidore, A. M., Plesa, C., Samson, J. A., Lubock, N. B., &amp; Kosuri, S. (2020). DropSynth 2.0: high-fidelity multiplexed gene synthesis in emulsions. Nucleic Acids Research, 48(16), e95. https://doi.org/10.1093/nar/gkaa600</w:t>
      </w:r>
    </w:p>
    <w:p>
      <w:pPr>
        <w:spacing w:after="120" w:before="40"/>
      </w:pPr>
      <w:r>
        <w:rPr>
          <w:i/>
          <w:iCs/>
          <w:color w:val="555555"/>
          <w:sz w:val="19"/>
          <w:szCs w:val="19"/>
        </w:rPr>
        <w:t xml:space="preserve">OMEGA (Romero lab, bioRxiv 2025) — pooled Golden-Gate assembly without beads or emulsion, ~$1.50/gene, up to ~2.6 kb. [Citation to be confirmed]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2026-08-04T14:10:47.751Z</dcterms:created>
  <dcterms:modified xsi:type="dcterms:W3CDTF">2026-08-04T14:10:47.752Z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