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sz w:val="20"/>
        </w:rPr>
        <w:t>Part 1 — Regime-Conditional Technology Readiness Index (TRI)</w:t>
      </w:r>
    </w:p>
    <w:p>
      <w:pPr>
        <w:spacing w:after="120"/>
      </w:pPr>
      <w:r>
        <w:rPr>
          <w:b/>
          <w:sz w:val="20"/>
        </w:rPr>
        <w:t>DIY DNA Oligonucleotide Synthesis Approaches Under Governance Transitions</w:t>
      </w:r>
    </w:p>
    <w:p>
      <w:pPr>
        <w:pStyle w:val="Heading2"/>
      </w:pPr>
      <w:r>
        <w:rPr>
          <w:color w:val="1F3A5F"/>
          <w:sz w:val="20"/>
        </w:rPr>
        <w:t>1. Introduction &amp; scope</w:t>
      </w:r>
    </w:p>
    <w:p>
      <w:pPr>
        <w:spacing w:after="120"/>
      </w:pPr>
      <w:r>
        <w:rPr>
          <w:b/>
          <w:sz w:val="20"/>
        </w:rPr>
        <w:t>Scope.</w:t>
      </w:r>
      <w:r>
        <w:rPr>
          <w:sz w:val="20"/>
        </w:rPr>
        <w:t xml:space="preserve"> Synthesis-step characterization only (sequence acquisition, assembly, pathogen rescue, and deployment are OUT OF SCOPE). Regimes: R0 (status quo, October 2026 — present) vs R1 (projected regime in which mandatory synthesis screening and on-device benchtop screening are in force). The analytical focus is the residual DIY gap — synthesis capability that remains outside the screening perimeter once commercial providers and benchtop manufacturers are covered.</w:t>
      </w:r>
    </w:p>
    <w:p>
      <w:pPr>
        <w:spacing w:after="120"/>
      </w:pPr>
      <w:r>
        <w:rPr>
          <w:b/>
          <w:sz w:val="20"/>
        </w:rPr>
        <w:t>Scope note:</w:t>
      </w:r>
      <w:r>
        <w:rPr>
          <w:sz w:val="20"/>
        </w:rPr>
        <w:t xml:space="preserve"> This analysis characterizes seven DNA oligonucleotide synthesis approaches across nine technical and governance dimensions: (1) Technology Readiness Level (TRL), (2) capital cost, (3) per-sequence cost, (4) expertise required, (5) time-to-first-synthesis, (6) maximum sequence length, (7) synthesis yield, (8) oversight-evasion potential (regime-paired, R0/R1), and (9) supply-chain vulnerability (regime-paired, R0/R1). The analysis applies a regime-conditional framework to understand how governance changes between October 2026 (R0, present) and the projected mandatory / on-device regime (R1) affect the accessibility, evasion potential, and control-point robustness of each method.</w:t>
      </w:r>
    </w:p>
    <w:p>
      <w:pPr>
        <w:pStyle w:val="Heading3"/>
      </w:pPr>
      <w:r>
        <w:rPr>
          <w:color w:val="1F3A5F"/>
          <w:sz w:val="20"/>
        </w:rPr>
        <w:t>1.1 Governance regime definitions</w:t>
      </w:r>
    </w:p>
    <w:p>
      <w:pPr>
        <w:spacing w:after="120"/>
      </w:pPr>
      <w:r>
        <w:rPr>
          <w:sz w:val="20"/>
        </w:rPr>
        <w:t>The two regimes are defined below. R0 is observed; R1 is a projection assembled from two distinct policy instruments whose implementation has not yet occurred. Those two instruments — a bill (S. 3741) and a technical framework (the OSTP screening framework) — are kept explicitly separate, because they do different things and have different enforcement pathways. Conflating them was an error in earlier drafts and is corrected here.</w:t>
      </w:r>
    </w:p>
    <w:p>
      <w:pPr>
        <w:spacing w:after="120"/>
      </w:pPr>
      <w:r>
        <w:rPr>
          <w:b/>
          <w:sz w:val="20"/>
        </w:rPr>
        <w:t>Regime 0 (R0): Status Quo, October 2026 (present).</w:t>
      </w:r>
      <w:r>
        <w:rPr>
          <w:sz w:val="20"/>
        </w:rPr>
        <w:t xml:space="preserve"> The OSTP Framework for Nucleic Acid Synthesis Screening (April 2024) was directed to be revised or replaced by Executive Order 14292 (Improving the Safety and Security of Biological Research, May 5, 2025). During the interim, no mandatory federal synthesis-screening requirement is in force. IGSC Harmonized Screening Protocol v3.0 (September 2024) is voluntary; member companies self-regulate. No on-device screening requirement for benchtop synthesizer manufacturers. No bulk-nucleotide or reagent monitoring mandate. Synthesis screening relies on voluntary provider compliance (IGSC v3.0).</w:t>
      </w:r>
    </w:p>
    <w:p>
      <w:pPr>
        <w:spacing w:after="120"/>
      </w:pPr>
      <w:r>
        <w:rPr>
          <w:b/>
          <w:sz w:val="20"/>
        </w:rPr>
        <w:t>Regime 1 (R1): Projected mandatory / on-device regime, late 2026+.</w:t>
      </w:r>
      <w:r>
        <w:rPr>
          <w:sz w:val="20"/>
        </w:rPr>
        <w:t xml:space="preserve"> R1 is the direction of travel implied by two separate instruments. (i) The legislative vehicle — S. 3741, Biosecurity Modernization and Innovation Act of 2026 — introduced January 29, 2026 by Sen. Tom Cotton and Sen. Amy Klobuchar; directs the Secretary of Commerce to require gene-synthesis providers to screen orders and customers, establishes a biotechnology governance sandbox at NIST, and requires a 90-day White House assessment. Its enforcement vehicle is Commerce regulation; the bill text does not itself specify an on-device mandate, a 50-nt window, or functional SOC definitions. (ii) The technical specification — the OSTP Nucleic Acid Synthesis Screening Framework — is where the screening mechanics live (50-nt window, functional SOC definitions, six-frame translation, manufacturer/on-device expectations). The April 2024 framework scheduled the 200→50-nt tightening for October 13, 2026; EO 14292 then paused implementation and directed OSTP to revise or replace the framework.</w:t>
      </w:r>
    </w:p>
    <w:p>
      <w:pPr>
        <w:spacing w:after="120"/>
      </w:pPr>
      <w:r>
        <w:rPr>
          <w:b/>
          <w:sz w:val="20"/>
        </w:rPr>
        <w:t>Honest R1 caveat.</w:t>
      </w:r>
      <w:r>
        <w:rPr>
          <w:sz w:val="20"/>
        </w:rPr>
        <w:t xml:space="preserve"> The "mandatory + on-device" R1 this project models is a composite projection: the screening-mandate direction of S. 3741 plus the technical spec of the OSTP framework revision. Every R1 claim is doubly conditional: on the framework revision being issued substantially as projected, and on S. 3741 (or an equivalent) being enacted and implemented. The chapter does not claim R1 exists — it claims R1 is the direction policy is aimed.</w:t>
      </w:r>
    </w:p>
    <w:p>
      <w:pPr>
        <w:pStyle w:val="Heading3"/>
      </w:pPr>
      <w:r>
        <w:rPr>
          <w:color w:val="1F3A5F"/>
          <w:sz w:val="20"/>
        </w:rPr>
        <w:t>1.2 Boundary clarity</w:t>
      </w:r>
    </w:p>
    <w:p>
      <w:pPr>
        <w:spacing w:after="120"/>
      </w:pPr>
      <w:r>
        <w:rPr>
          <w:b/>
          <w:sz w:val="20"/>
        </w:rPr>
        <w:t>IN SCOPE:</w:t>
      </w:r>
      <w:r>
        <w:rPr>
          <w:sz w:val="20"/>
        </w:rPr>
        <w:t xml:space="preserve"> oligonucleotide synthesis methods; system-level characterization (TRL, cost, expertise, accessibility); regime-conditional evasion potential and supply-chain vulnerability. </w:t>
      </w:r>
      <w:r>
        <w:rPr>
          <w:b/>
          <w:sz w:val="20"/>
        </w:rPr>
        <w:t>OUT OF SCOPE:</w:t>
      </w:r>
      <w:r>
        <w:rPr>
          <w:sz w:val="20"/>
        </w:rPr>
        <w:t xml:space="preserve"> sequence acquisition / order placement; oligo assembly into genetic constructs; pathogen culture / deployment; operational build protocols.</w:t>
      </w:r>
    </w:p>
    <w:p>
      <w:pPr>
        <w:pStyle w:val="Heading3"/>
      </w:pPr>
      <w:r>
        <w:rPr>
          <w:color w:val="1F3A5F"/>
          <w:sz w:val="20"/>
        </w:rPr>
        <w:t>1.3 Reading the TRL scale, and the DIY focus</w:t>
      </w:r>
    </w:p>
    <w:p>
      <w:pPr>
        <w:spacing w:after="120"/>
      </w:pPr>
      <w:r>
        <w:rPr>
          <w:b/>
          <w:sz w:val="20"/>
        </w:rPr>
        <w:t>What TRL measures here.</w:t>
      </w:r>
      <w:r>
        <w:rPr>
          <w:sz w:val="20"/>
        </w:rPr>
        <w:t xml:space="preserve"> TRL 1–9 ranks how close a synthesis route is to a working, assembly-ready capability a non-expert could actually stand up — not its scientific novelty. TRL 1–2 = basic principle only; TRL 3–4 = early proof-of-concept or lab-validated prototype (electrochemical; DropSynth); TRL 5–6 = demonstrated and reproducible (OpenIDS), or commercial instrument/service operational (enzymatic); TRL 7–9 = production-qualified mature commercial systems (benchtop phosphoramidite). The zone of interest is TRL 3–6; high-TRL commercial systems (7–9) are included only as a baseline/reference.</w:t>
      </w:r>
    </w:p>
    <w:p>
      <w:pPr>
        <w:spacing w:after="120"/>
      </w:pPr>
      <w:r>
        <w:rPr>
          <w:b/>
          <w:sz w:val="20"/>
        </w:rPr>
        <w:t>Definitions.</w:t>
      </w:r>
      <w:r>
        <w:rPr>
          <w:sz w:val="20"/>
        </w:rPr>
        <w:t xml:space="preserve"> Time to first usable oligo — elapsed time from starting a build to producing the first correct product. OOS — out of scope. Assembly-ready — usable directly as a building block for gene-length assembly.</w:t>
      </w:r>
    </w:p>
    <w:p>
      <w:pPr>
        <w:pStyle w:val="Heading2"/>
      </w:pPr>
      <w:r>
        <w:rPr>
          <w:color w:val="1F3A5F"/>
          <w:sz w:val="20"/>
        </w:rPr>
        <w:t>2. Technology landscape: the seven approaches</w:t>
      </w:r>
    </w:p>
    <w:p>
      <w:pPr>
        <w:spacing w:after="120"/>
      </w:pPr>
      <w:r>
        <w:rPr>
          <w:sz w:val="20"/>
        </w:rPr>
        <w:t>*Figure 1.1 — Technology readiness by synthesis approach.*</w:t>
      </w:r>
    </w:p>
    <w:p>
      <w:pPr>
        <w:pStyle w:val="Heading3"/>
      </w:pPr>
      <w:r>
        <w:rPr>
          <w:color w:val="1F3A5F"/>
          <w:sz w:val="20"/>
        </w:rPr>
        <w:t>2.1 OpenIDS (inkjet-based, TRL 5)</w:t>
      </w:r>
    </w:p>
    <w:p>
      <w:pPr>
        <w:spacing w:after="120"/>
      </w:pPr>
      <w:r>
        <w:rPr>
          <w:b/>
          <w:sz w:val="20"/>
        </w:rPr>
        <w:t>Technology &amp; status.</w:t>
      </w:r>
      <w:r>
        <w:rPr>
          <w:sz w:val="20"/>
        </w:rPr>
        <w:t xml:space="preserve"> OpenIDS is an open-source, 3D-printed, inkjet-based oligonucleotide synthesizer built from commercial off-the-shelf components (Kim, Kim &amp; Bang, 2024, Scientific Reports 14:3773). A second-generation design, OpenIDS2 (Kim, Kim &amp; Bang, 2025, PLOS ONE), reduces device volume to roughly one-third, integrates custom PCBs, and improves stability via peristaltic bulk-solution delivery.</w:t>
      </w:r>
    </w:p>
    <w:p>
      <w:pPr>
        <w:spacing w:after="120"/>
      </w:pPr>
      <w:r>
        <w:rPr>
          <w:b/>
          <w:sz w:val="20"/>
        </w:rPr>
        <w:t>TRL: 5 (Demonstrated, Reproducible).</w:t>
      </w:r>
      <w:r>
        <w:rPr>
          <w:sz w:val="20"/>
        </w:rPr>
        <w:t xml:space="preserve"> Peer-reviewed; open-source and documented; reproducible in academic settings.</w:t>
      </w:r>
    </w:p>
    <w:p>
      <w:pPr>
        <w:spacing w:after="120"/>
      </w:pPr>
      <w:r>
        <w:rPr>
          <w:b/>
          <w:sz w:val="20"/>
        </w:rPr>
        <w:t>Forensically relevant build detail.</w:t>
      </w:r>
      <w:r>
        <w:rPr>
          <w:sz w:val="20"/>
        </w:rPr>
        <w:t xml:space="preserve"> The published protocol omits the capping step. Because the diagnostic G→A substitution signature of column phosphoramidite chemistry is capping-driven (Masaki, Onishi &amp; Seio, 2022; see Chapter 4), OpenIDS oligos are expected to carry a distinguishable error phenotype relative to standard capped column synthesis.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b/>
                <w:sz w:val="20"/>
              </w:rPr>
              <w:t>Dimension</w:t>
            </w:r>
          </w:p>
        </w:tc>
        <w:tc>
          <w:tcPr>
            <w:tcW w:type="dxa" w:w="1728"/>
          </w:tcPr>
          <w:p>
            <w:pPr>
              <w:spacing w:after="0"/>
            </w:pPr>
            <w:r>
              <w:rPr>
                <w:b/>
                <w:sz w:val="20"/>
              </w:rPr>
              <w:t>Best</w:t>
            </w:r>
          </w:p>
        </w:tc>
        <w:tc>
          <w:tcPr>
            <w:tcW w:type="dxa" w:w="1728"/>
          </w:tcPr>
          <w:p>
            <w:pPr>
              <w:spacing w:after="0"/>
            </w:pPr>
            <w:r>
              <w:rPr>
                <w:b/>
                <w:sz w:val="20"/>
              </w:rPr>
              <w:t>Range</w:t>
            </w:r>
          </w:p>
        </w:tc>
        <w:tc>
          <w:tcPr>
            <w:tcW w:type="dxa" w:w="1728"/>
          </w:tcPr>
          <w:p>
            <w:pPr>
              <w:spacing w:after="0"/>
            </w:pPr>
            <w:r>
              <w:rPr>
                <w:b/>
                <w:sz w:val="20"/>
              </w:rPr>
              <w:t>Confidence</w:t>
            </w:r>
          </w:p>
        </w:tc>
        <w:tc>
          <w:tcPr>
            <w:tcW w:type="dxa" w:w="1728"/>
          </w:tcPr>
          <w:p>
            <w:pPr>
              <w:spacing w:after="0"/>
            </w:pPr>
            <w:r>
              <w:rPr>
                <w:b/>
                <w:sz w:val="20"/>
              </w:rPr>
              <w:t>Source / note</w:t>
            </w:r>
          </w:p>
        </w:tc>
      </w:tr>
      <w:tr>
        <w:tc>
          <w:tcPr>
            <w:tcW w:type="dxa" w:w="1728"/>
          </w:tcPr>
          <w:p>
            <w:pPr>
              <w:spacing w:after="0"/>
            </w:pPr>
            <w:r>
              <w:rPr>
                <w:sz w:val="20"/>
              </w:rPr>
              <w:t>Capital cost</w:t>
            </w:r>
          </w:p>
        </w:tc>
        <w:tc>
          <w:tcPr>
            <w:tcW w:type="dxa" w:w="1728"/>
          </w:tcPr>
          <w:p>
            <w:pPr>
              <w:spacing w:after="0"/>
            </w:pPr>
            <w:r>
              <w:rPr>
                <w:sz w:val="20"/>
              </w:rPr>
              <w:t>$19,900</w:t>
            </w:r>
          </w:p>
        </w:tc>
        <w:tc>
          <w:tcPr>
            <w:tcW w:type="dxa" w:w="1728"/>
          </w:tcPr>
          <w:p>
            <w:pPr>
              <w:spacing w:after="0"/>
            </w:pPr>
            <w:r>
              <w:rPr>
                <w:sz w:val="20"/>
              </w:rPr>
              <w:t>$15,000–25,000</w:t>
            </w:r>
          </w:p>
        </w:tc>
        <w:tc>
          <w:tcPr>
            <w:tcW w:type="dxa" w:w="1728"/>
          </w:tcPr>
          <w:p>
            <w:pPr>
              <w:spacing w:after="0"/>
            </w:pPr>
            <w:r>
              <w:rPr>
                <w:sz w:val="20"/>
              </w:rPr>
              <w:t>HIGH</w:t>
            </w:r>
          </w:p>
        </w:tc>
        <w:tc>
          <w:tcPr>
            <w:tcW w:type="dxa" w:w="1728"/>
          </w:tcPr>
          <w:p>
            <w:pPr>
              <w:spacing w:after="0"/>
            </w:pPr>
            <w:r>
              <w:rPr>
                <w:sz w:val="20"/>
              </w:rPr>
              <w:t>Kim et al. 2024 BOM</w:t>
            </w:r>
          </w:p>
        </w:tc>
      </w:tr>
      <w:tr>
        <w:tc>
          <w:tcPr>
            <w:tcW w:type="dxa" w:w="1728"/>
          </w:tcPr>
          <w:p>
            <w:pPr>
              <w:spacing w:after="0"/>
            </w:pPr>
            <w:r>
              <w:rPr>
                <w:sz w:val="20"/>
              </w:rPr>
              <w:t>Per-seq cost</w:t>
            </w:r>
          </w:p>
        </w:tc>
        <w:tc>
          <w:tcPr>
            <w:tcW w:type="dxa" w:w="1728"/>
          </w:tcPr>
          <w:p>
            <w:pPr>
              <w:spacing w:after="0"/>
            </w:pPr>
            <w:r>
              <w:rPr>
                <w:sz w:val="20"/>
              </w:rPr>
              <w:t>~$2/seq</w:t>
            </w:r>
          </w:p>
        </w:tc>
        <w:tc>
          <w:tcPr>
            <w:tcW w:type="dxa" w:w="1728"/>
          </w:tcPr>
          <w:p>
            <w:pPr>
              <w:spacing w:after="0"/>
            </w:pPr>
            <w:r>
              <w:rPr>
                <w:sz w:val="20"/>
              </w:rPr>
              <w:t>$0.50–10</w:t>
            </w:r>
          </w:p>
        </w:tc>
        <w:tc>
          <w:tcPr>
            <w:tcW w:type="dxa" w:w="1728"/>
          </w:tcPr>
          <w:p>
            <w:pPr>
              <w:spacing w:after="0"/>
            </w:pPr>
            <w:r>
              <w:rPr>
                <w:sz w:val="20"/>
              </w:rPr>
              <w:t>MED–HIGH</w:t>
            </w:r>
          </w:p>
        </w:tc>
        <w:tc>
          <w:tcPr>
            <w:tcW w:type="dxa" w:w="1728"/>
          </w:tcPr>
          <w:p>
            <w:pPr>
              <w:spacing w:after="0"/>
            </w:pPr>
            <w:r>
              <w:rPr>
                <w:sz w:val="20"/>
              </w:rPr>
              <w:t>Kim et al. 2024 reagent analysis</w:t>
            </w:r>
          </w:p>
        </w:tc>
      </w:tr>
      <w:tr>
        <w:tc>
          <w:tcPr>
            <w:tcW w:type="dxa" w:w="1728"/>
          </w:tcPr>
          <w:p>
            <w:pPr>
              <w:spacing w:after="0"/>
            </w:pPr>
            <w:r>
              <w:rPr>
                <w:sz w:val="20"/>
              </w:rPr>
              <w:t>Expertise (1–10)</w:t>
            </w:r>
          </w:p>
        </w:tc>
        <w:tc>
          <w:tcPr>
            <w:tcW w:type="dxa" w:w="1728"/>
          </w:tcPr>
          <w:p>
            <w:pPr>
              <w:spacing w:after="0"/>
            </w:pPr>
            <w:r>
              <w:rPr>
                <w:sz w:val="20"/>
              </w:rPr>
              <w:t>6/10</w:t>
            </w:r>
          </w:p>
        </w:tc>
        <w:tc>
          <w:tcPr>
            <w:tcW w:type="dxa" w:w="1728"/>
          </w:tcPr>
          <w:p>
            <w:pPr>
              <w:spacing w:after="0"/>
            </w:pPr>
            <w:r>
              <w:rPr>
                <w:sz w:val="20"/>
              </w:rPr>
              <w:t>5–8</w:t>
            </w:r>
          </w:p>
        </w:tc>
        <w:tc>
          <w:tcPr>
            <w:tcW w:type="dxa" w:w="1728"/>
          </w:tcPr>
          <w:p>
            <w:pPr>
              <w:spacing w:after="0"/>
            </w:pPr>
            <w:r>
              <w:rPr>
                <w:sz w:val="20"/>
              </w:rPr>
              <w:t>MED–HIGH</w:t>
            </w:r>
          </w:p>
        </w:tc>
        <w:tc>
          <w:tcPr>
            <w:tcW w:type="dxa" w:w="1728"/>
          </w:tcPr>
          <w:p>
            <w:pPr>
              <w:spacing w:after="0"/>
            </w:pPr>
            <w:r>
              <w:rPr>
                <w:sz w:val="20"/>
              </w:rPr>
              <w:t>—</w:t>
            </w:r>
          </w:p>
        </w:tc>
      </w:tr>
      <w:tr>
        <w:tc>
          <w:tcPr>
            <w:tcW w:type="dxa" w:w="1728"/>
          </w:tcPr>
          <w:p>
            <w:pPr>
              <w:spacing w:after="0"/>
            </w:pPr>
            <w:r>
              <w:rPr>
                <w:sz w:val="20"/>
              </w:rPr>
              <w:t>Time-to-first</w:t>
            </w:r>
          </w:p>
        </w:tc>
        <w:tc>
          <w:tcPr>
            <w:tcW w:type="dxa" w:w="1728"/>
          </w:tcPr>
          <w:p>
            <w:pPr>
              <w:spacing w:after="0"/>
            </w:pPr>
            <w:r>
              <w:rPr>
                <w:sz w:val="20"/>
              </w:rPr>
              <w:t>~4 weeks</w:t>
            </w:r>
          </w:p>
        </w:tc>
        <w:tc>
          <w:tcPr>
            <w:tcW w:type="dxa" w:w="1728"/>
          </w:tcPr>
          <w:p>
            <w:pPr>
              <w:spacing w:after="0"/>
            </w:pPr>
            <w:r>
              <w:rPr>
                <w:sz w:val="20"/>
              </w:rPr>
              <w:t>2–8 wk</w:t>
            </w:r>
          </w:p>
        </w:tc>
        <w:tc>
          <w:tcPr>
            <w:tcW w:type="dxa" w:w="1728"/>
          </w:tcPr>
          <w:p>
            <w:pPr>
              <w:spacing w:after="0"/>
            </w:pPr>
            <w:r>
              <w:rPr>
                <w:sz w:val="20"/>
              </w:rPr>
              <w:t>MED</w:t>
            </w:r>
          </w:p>
        </w:tc>
        <w:tc>
          <w:tcPr>
            <w:tcW w:type="dxa" w:w="1728"/>
          </w:tcPr>
          <w:p>
            <w:pPr>
              <w:spacing w:after="0"/>
            </w:pPr>
            <w:r>
              <w:rPr>
                <w:sz w:val="20"/>
              </w:rPr>
              <w:t>build time</w:t>
            </w:r>
          </w:p>
        </w:tc>
      </w:tr>
      <w:tr>
        <w:tc>
          <w:tcPr>
            <w:tcW w:type="dxa" w:w="1728"/>
          </w:tcPr>
          <w:p>
            <w:pPr>
              <w:spacing w:after="0"/>
            </w:pPr>
            <w:r>
              <w:rPr>
                <w:sz w:val="20"/>
              </w:rPr>
              <w:t>Usable length @ high fidelity</w:t>
            </w:r>
          </w:p>
        </w:tc>
        <w:tc>
          <w:tcPr>
            <w:tcW w:type="dxa" w:w="1728"/>
          </w:tcPr>
          <w:p>
            <w:pPr>
              <w:spacing w:after="0"/>
            </w:pPr>
            <w:r>
              <w:rPr>
                <w:sz w:val="20"/>
              </w:rPr>
              <w:t>~15–30 nt</w:t>
            </w:r>
          </w:p>
        </w:tc>
        <w:tc>
          <w:tcPr>
            <w:tcW w:type="dxa" w:w="1728"/>
          </w:tcPr>
          <w:p>
            <w:pPr>
              <w:spacing w:after="0"/>
            </w:pPr>
            <w:r>
              <w:rPr>
                <w:sz w:val="20"/>
              </w:rPr>
              <w:t>advertised oligo-scale ~100–200 nt</w:t>
            </w:r>
          </w:p>
        </w:tc>
        <w:tc>
          <w:tcPr>
            <w:tcW w:type="dxa" w:w="1728"/>
          </w:tcPr>
          <w:p>
            <w:pPr>
              <w:spacing w:after="0"/>
            </w:pPr>
            <w:r>
              <w:rPr>
                <w:sz w:val="20"/>
              </w:rPr>
              <w:t>MED</w:t>
            </w:r>
          </w:p>
        </w:tc>
        <w:tc>
          <w:tcPr>
            <w:tcW w:type="dxa" w:w="1728"/>
          </w:tcPr>
          <w:p>
            <w:pPr>
              <w:spacing w:after="0"/>
            </w:pPr>
            <w:r>
              <w:rPr>
                <w:sz w:val="20"/>
              </w:rPr>
              <w:t>only poly-dT ≤30-mer demonstrated; not gene-assembly-ready</w:t>
            </w:r>
          </w:p>
        </w:tc>
      </w:tr>
      <w:tr>
        <w:tc>
          <w:tcPr>
            <w:tcW w:type="dxa" w:w="1728"/>
          </w:tcPr>
          <w:p>
            <w:pPr>
              <w:spacing w:after="0"/>
            </w:pPr>
            <w:r>
              <w:rPr>
                <w:sz w:val="20"/>
              </w:rPr>
              <w:t>Throughput</w:t>
            </w:r>
          </w:p>
        </w:tc>
        <w:tc>
          <w:tcPr>
            <w:tcW w:type="dxa" w:w="1728"/>
          </w:tcPr>
          <w:p>
            <w:pPr>
              <w:spacing w:after="0"/>
            </w:pPr>
            <w:r>
              <w:rPr>
                <w:sz w:val="20"/>
              </w:rPr>
              <w:t>~144 spots/array</w:t>
            </w:r>
          </w:p>
        </w:tc>
        <w:tc>
          <w:tcPr>
            <w:tcW w:type="dxa" w:w="1728"/>
          </w:tcPr>
          <w:p>
            <w:pPr>
              <w:spacing w:after="0"/>
            </w:pPr>
            <w:r>
              <w:rPr>
                <w:sz w:val="20"/>
              </w:rPr>
              <w:t>—</w:t>
            </w:r>
          </w:p>
        </w:tc>
        <w:tc>
          <w:tcPr>
            <w:tcW w:type="dxa" w:w="1728"/>
          </w:tcPr>
          <w:p>
            <w:pPr>
              <w:spacing w:after="0"/>
            </w:pPr>
            <w:r>
              <w:rPr>
                <w:sz w:val="20"/>
              </w:rPr>
              <w:t>MED</w:t>
            </w:r>
          </w:p>
        </w:tc>
        <w:tc>
          <w:tcPr>
            <w:tcW w:type="dxa" w:w="1728"/>
          </w:tcPr>
          <w:p>
            <w:pPr>
              <w:spacing w:after="0"/>
            </w:pPr>
            <w:r>
              <w:rPr>
                <w:sz w:val="20"/>
              </w:rPr>
              <w:t>array format</w:t>
            </w:r>
          </w:p>
        </w:tc>
      </w:tr>
      <w:tr>
        <w:tc>
          <w:tcPr>
            <w:tcW w:type="dxa" w:w="1728"/>
          </w:tcPr>
          <w:p>
            <w:pPr>
              <w:spacing w:after="0"/>
            </w:pPr>
            <w:r>
              <w:rPr>
                <w:sz w:val="20"/>
              </w:rPr>
              <w:t>Yield (per-cycle coupling)</w:t>
            </w:r>
          </w:p>
        </w:tc>
        <w:tc>
          <w:tcPr>
            <w:tcW w:type="dxa" w:w="1728"/>
          </w:tcPr>
          <w:p>
            <w:pPr>
              <w:spacing w:after="0"/>
            </w:pPr>
            <w:r>
              <w:rPr>
                <w:sz w:val="20"/>
              </w:rPr>
              <w:t>~94–98%/cycle</w:t>
            </w:r>
          </w:p>
        </w:tc>
        <w:tc>
          <w:tcPr>
            <w:tcW w:type="dxa" w:w="1728"/>
          </w:tcPr>
          <w:p>
            <w:pPr>
              <w:spacing w:after="0"/>
            </w:pPr>
            <w:r>
              <w:rPr>
                <w:sz w:val="20"/>
              </w:rPr>
              <w:t>95–99%</w:t>
            </w:r>
          </w:p>
        </w:tc>
        <w:tc>
          <w:tcPr>
            <w:tcW w:type="dxa" w:w="1728"/>
          </w:tcPr>
          <w:p>
            <w:pPr>
              <w:spacing w:after="0"/>
            </w:pPr>
            <w:r>
              <w:rPr>
                <w:sz w:val="20"/>
              </w:rPr>
              <w:t>MED</w:t>
            </w:r>
          </w:p>
        </w:tc>
        <w:tc>
          <w:tcPr>
            <w:tcW w:type="dxa" w:w="1728"/>
          </w:tcPr>
          <w:p>
            <w:pPr>
              <w:spacing w:after="0"/>
            </w:pPr>
            <w:r>
              <w:rPr>
                <w:color w:val="C00000"/>
                <w:sz w:val="20"/>
              </w:rPr>
              <w:t>PC coupling 94–98% per Kim 2024</w:t>
            </w:r>
            <w:r>
              <w:rPr>
                <w:sz w:val="20"/>
              </w:rPr>
              <w:t>; OpenIDS2 measured ~56% full-length for a 15-mer</w:t>
            </w:r>
          </w:p>
        </w:tc>
      </w:tr>
    </w:tbl>
    <w:p/>
    <w:p>
      <w:pPr>
        <w:spacing w:after="120"/>
      </w:pPr>
      <w:r>
        <w:rPr>
          <w:sz w:val="20"/>
        </w:rPr>
        <w:t>Propylene carbonate (a GRAS food-additive solvent) substitutes for acetonitrile (Kim et al., 2024). Accessibility of published plans is not the same as accessibility of working capability — the expertise barrier is real.</w:t>
      </w:r>
    </w:p>
    <w:p>
      <w:pPr>
        <w:spacing w:after="120"/>
      </w:pPr>
      <w:r>
        <w:rPr>
          <w:b/>
          <w:sz w:val="20"/>
        </w:rPr>
        <w:t>Oversight-evasion &amp; supply-chain (R0 vs R1).</w:t>
      </w:r>
      <w:r>
        <w:rPr>
          <w:sz w:val="20"/>
        </w:rPr>
        <w:t xml:space="preserve"> R0: Evasion Medium; supply-chain vulnerability High (distinctive printhead but unmonitored; commodity solvent/reagents; voluntary IGSC screening does not reach DIY builders). R1: Evasion Low; supply-chain vulnerability Medium (if classified as a benchtop synthesizer, an on-device screening mandate would reach synthesis directly). Policy delta: control shifts from supply-chain chokepoints (not durable) toward device-level detection (more durable).</w:t>
      </w:r>
    </w:p>
    <w:p>
      <w:pPr>
        <w:pStyle w:val="Heading3"/>
      </w:pPr>
      <w:r>
        <w:rPr>
          <w:color w:val="1F3A5F"/>
          <w:sz w:val="20"/>
        </w:rPr>
        <w:t>2.2 MAS 2.0 / Advanced Maskless Synthesizer (Photolithographic, Open-Source, TRL 5)</w:t>
      </w:r>
    </w:p>
    <w:p>
      <w:pPr>
        <w:spacing w:after="120"/>
      </w:pPr>
      <w:r>
        <w:rPr>
          <w:b/>
          <w:sz w:val="20"/>
        </w:rPr>
        <w:t>Technology &amp; status.</w:t>
      </w:r>
      <w:r>
        <w:rPr>
          <w:sz w:val="20"/>
        </w:rPr>
        <w:t xml:space="preserve"> MAS 2.0 (the Advanced Maskless Synthesizer) is a fully open-source, benchtop photolithographic (light-directed) oligonucleotide synthesizer (Somoza group, ChemRxiv 2024, DOI 10.26434/chemrxiv-2024-j4c90). It uses phosphoramidites with photolabile 5′-protecting groups (NPPOC/BzNPPOC) and a digital micromirror device (DMD) to pattern ~365 nm UV onto the substrate — photo-deprotecting only illuminated features so the next base couples only there. "Maskless" means the DMD replaces fabricated physical photomasks; any array pattern is set in software.</w:t>
      </w:r>
    </w:p>
    <w:p>
      <w:pPr>
        <w:spacing w:after="120"/>
      </w:pPr>
      <w:r>
        <w:rPr>
          <w:b/>
          <w:sz w:val="20"/>
        </w:rPr>
        <w:t>TRL: 5 (Demonstrated, Open Build).</w:t>
      </w:r>
      <w:r>
        <w:rPr>
          <w:sz w:val="20"/>
        </w:rPr>
        <w:t xml:space="preserve"> Full open hardware — CAD/STL, a costed component list, Python control software, and a chemistry/process manual — demonstrated by the originating lab; broad independent replication is still emerging. </w:t>
      </w:r>
      <w:r>
        <w:rPr>
          <w:color w:val="C00000"/>
          <w:sz w:val="20"/>
        </w:rPr>
        <w:t>Accuracy and usable length for this method class are published in the light-directed synthesis literature (Lietard et al., 2021, NAR 49(12):6687; Agbavwe et al., 2011, J. Nanobiotechnol. 9:57), not as headline figures in the device paper itself.</w:t>
      </w:r>
      <w:r>
        <w:rPr>
          <w:sz w:val="20"/>
        </w:rPr>
        <w:t xml:space="preserve"> It is the DIY instantiation of the photolithographic class whose error signature is reproduced in the attribution framework (Chapter 4, Lietard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Dimension</w:t>
            </w:r>
          </w:p>
        </w:tc>
        <w:tc>
          <w:tcPr>
            <w:tcW w:type="dxa" w:w="2160"/>
          </w:tcPr>
          <w:p>
            <w:pPr>
              <w:spacing w:after="0"/>
            </w:pPr>
            <w:r>
              <w:rPr>
                <w:b/>
                <w:sz w:val="20"/>
              </w:rPr>
              <w:t>Best (est)</w:t>
            </w:r>
          </w:p>
        </w:tc>
        <w:tc>
          <w:tcPr>
            <w:tcW w:type="dxa" w:w="2160"/>
          </w:tcPr>
          <w:p>
            <w:pPr>
              <w:spacing w:after="0"/>
            </w:pPr>
            <w:r>
              <w:rPr>
                <w:b/>
                <w:sz w:val="20"/>
              </w:rPr>
              <w:t>Range</w:t>
            </w:r>
          </w:p>
        </w:tc>
        <w:tc>
          <w:tcPr>
            <w:tcW w:type="dxa" w:w="2160"/>
          </w:tcPr>
          <w:p>
            <w:pPr>
              <w:spacing w:after="0"/>
            </w:pPr>
            <w:r>
              <w:rPr>
                <w:b/>
                <w:sz w:val="20"/>
              </w:rPr>
              <w:t>Confidence</w:t>
            </w:r>
          </w:p>
        </w:tc>
      </w:tr>
      <w:tr>
        <w:tc>
          <w:tcPr>
            <w:tcW w:type="dxa" w:w="2160"/>
          </w:tcPr>
          <w:p>
            <w:pPr>
              <w:spacing w:after="0"/>
            </w:pPr>
            <w:r>
              <w:rPr>
                <w:sz w:val="20"/>
              </w:rPr>
              <w:t>Capital cost</w:t>
            </w:r>
          </w:p>
        </w:tc>
        <w:tc>
          <w:tcPr>
            <w:tcW w:type="dxa" w:w="2160"/>
          </w:tcPr>
          <w:p>
            <w:pPr>
              <w:spacing w:after="0"/>
            </w:pPr>
            <w:r>
              <w:rPr>
                <w:sz w:val="20"/>
              </w:rPr>
              <w:t>~$30,000</w:t>
            </w:r>
          </w:p>
        </w:tc>
        <w:tc>
          <w:tcPr>
            <w:tcW w:type="dxa" w:w="2160"/>
          </w:tcPr>
          <w:p>
            <w:pPr>
              <w:spacing w:after="0"/>
            </w:pPr>
            <w:r>
              <w:rPr>
                <w:sz w:val="20"/>
              </w:rPr>
              <w:t>tens of $K</w:t>
            </w:r>
          </w:p>
        </w:tc>
        <w:tc>
          <w:tcPr>
            <w:tcW w:type="dxa" w:w="2160"/>
          </w:tcPr>
          <w:p>
            <w:pPr>
              <w:spacing w:after="0"/>
            </w:pPr>
            <w:r>
              <w:rPr>
                <w:color w:val="C00000"/>
                <w:sz w:val="20"/>
              </w:rPr>
              <w:t>MED (est; not itemised in paper text — supplementary component list only)</w:t>
            </w:r>
          </w:p>
        </w:tc>
      </w:tr>
      <w:tr>
        <w:tc>
          <w:tcPr>
            <w:tcW w:type="dxa" w:w="2160"/>
          </w:tcPr>
          <w:p>
            <w:pPr>
              <w:spacing w:after="0"/>
            </w:pPr>
            <w:r>
              <w:rPr>
                <w:sz w:val="20"/>
              </w:rPr>
              <w:t>Per-oligo cost</w:t>
            </w:r>
          </w:p>
        </w:tc>
        <w:tc>
          <w:tcPr>
            <w:tcW w:type="dxa" w:w="2160"/>
          </w:tcPr>
          <w:p>
            <w:pPr>
              <w:spacing w:after="0"/>
            </w:pPr>
            <w:r>
              <w:rPr>
                <w:sz w:val="20"/>
              </w:rPr>
              <w:t>—</w:t>
            </w:r>
          </w:p>
        </w:tc>
        <w:tc>
          <w:tcPr>
            <w:tcW w:type="dxa" w:w="2160"/>
          </w:tcPr>
          <w:p>
            <w:pPr>
              <w:spacing w:after="0"/>
            </w:pPr>
            <w:r>
              <w:rPr>
                <w:sz w:val="20"/>
              </w:rPr>
              <w:t>—</w:t>
            </w:r>
          </w:p>
        </w:tc>
        <w:tc>
          <w:tcPr>
            <w:tcW w:type="dxa" w:w="2160"/>
          </w:tcPr>
          <w:p>
            <w:pPr>
              <w:spacing w:after="0"/>
            </w:pPr>
            <w:r>
              <w:rPr>
                <w:sz w:val="20"/>
              </w:rPr>
              <w:t>LOW (not reported)</w:t>
            </w:r>
          </w:p>
        </w:tc>
      </w:tr>
      <w:tr>
        <w:tc>
          <w:tcPr>
            <w:tcW w:type="dxa" w:w="2160"/>
          </w:tcPr>
          <w:p>
            <w:pPr>
              <w:spacing w:after="0"/>
            </w:pPr>
            <w:r>
              <w:rPr>
                <w:sz w:val="20"/>
              </w:rPr>
              <w:t>Expertise</w:t>
            </w:r>
          </w:p>
        </w:tc>
        <w:tc>
          <w:tcPr>
            <w:tcW w:type="dxa" w:w="2160"/>
          </w:tcPr>
          <w:p>
            <w:pPr>
              <w:spacing w:after="0"/>
            </w:pPr>
            <w:r>
              <w:rPr>
                <w:sz w:val="20"/>
              </w:rPr>
              <w:t>8/10</w:t>
            </w:r>
          </w:p>
        </w:tc>
        <w:tc>
          <w:tcPr>
            <w:tcW w:type="dxa" w:w="2160"/>
          </w:tcPr>
          <w:p>
            <w:pPr>
              <w:spacing w:after="0"/>
            </w:pPr>
            <w:r>
              <w:rPr>
                <w:sz w:val="20"/>
              </w:rPr>
              <w:t>7–9</w:t>
            </w:r>
          </w:p>
        </w:tc>
        <w:tc>
          <w:tcPr>
            <w:tcW w:type="dxa" w:w="2160"/>
          </w:tcPr>
          <w:p>
            <w:pPr>
              <w:spacing w:after="0"/>
            </w:pPr>
            <w:r>
              <w:rPr>
                <w:sz w:val="20"/>
              </w:rPr>
              <w:t>MED</w:t>
            </w:r>
          </w:p>
        </w:tc>
      </w:tr>
      <w:tr>
        <w:tc>
          <w:tcPr>
            <w:tcW w:type="dxa" w:w="2160"/>
          </w:tcPr>
          <w:p>
            <w:pPr>
              <w:spacing w:after="0"/>
            </w:pPr>
            <w:r>
              <w:rPr>
                <w:sz w:val="20"/>
              </w:rPr>
              <w:t>Time-to-first usable oligo</w:t>
            </w:r>
          </w:p>
        </w:tc>
        <w:tc>
          <w:tcPr>
            <w:tcW w:type="dxa" w:w="2160"/>
          </w:tcPr>
          <w:p>
            <w:pPr>
              <w:spacing w:after="0"/>
            </w:pPr>
            <w:r>
              <w:rPr>
                <w:sz w:val="20"/>
              </w:rPr>
              <w:t>~8–16 weeks</w:t>
            </w:r>
          </w:p>
        </w:tc>
        <w:tc>
          <w:tcPr>
            <w:tcW w:type="dxa" w:w="2160"/>
          </w:tcPr>
          <w:p>
            <w:pPr>
              <w:spacing w:after="0"/>
            </w:pPr>
            <w:r>
              <w:rPr>
                <w:sz w:val="20"/>
              </w:rPr>
              <w:t>—</w:t>
            </w:r>
          </w:p>
        </w:tc>
        <w:tc>
          <w:tcPr>
            <w:tcW w:type="dxa" w:w="2160"/>
          </w:tcPr>
          <w:p>
            <w:pPr>
              <w:spacing w:after="0"/>
            </w:pPr>
            <w:r>
              <w:rPr>
                <w:sz w:val="20"/>
              </w:rPr>
              <w:t>LOW</w:t>
            </w:r>
          </w:p>
        </w:tc>
      </w:tr>
      <w:tr>
        <w:tc>
          <w:tcPr>
            <w:tcW w:type="dxa" w:w="2160"/>
          </w:tcPr>
          <w:p>
            <w:pPr>
              <w:spacing w:after="0"/>
            </w:pPr>
            <w:r>
              <w:rPr>
                <w:sz w:val="20"/>
              </w:rPr>
              <w:t>Usable length @ fidelity</w:t>
            </w:r>
          </w:p>
        </w:tc>
        <w:tc>
          <w:tcPr>
            <w:tcW w:type="dxa" w:w="2160"/>
          </w:tcPr>
          <w:p>
            <w:pPr>
              <w:spacing w:after="0"/>
            </w:pPr>
            <w:r>
              <w:rPr>
                <w:sz w:val="20"/>
              </w:rPr>
              <w:t>library-grade (error-prone)</w:t>
            </w:r>
          </w:p>
        </w:tc>
        <w:tc>
          <w:tcPr>
            <w:tcW w:type="dxa" w:w="2160"/>
          </w:tcPr>
          <w:p>
            <w:pPr>
              <w:spacing w:after="0"/>
            </w:pPr>
            <w:r>
              <w:rPr>
                <w:sz w:val="20"/>
              </w:rPr>
              <w:t>—</w:t>
            </w:r>
          </w:p>
        </w:tc>
        <w:tc>
          <w:tcPr>
            <w:tcW w:type="dxa" w:w="2160"/>
          </w:tcPr>
          <w:p>
            <w:pPr>
              <w:spacing w:after="0"/>
            </w:pPr>
            <w:r>
              <w:rPr>
                <w:sz w:val="20"/>
              </w:rPr>
              <w:t>MED</w:t>
            </w:r>
          </w:p>
        </w:tc>
      </w:tr>
    </w:tbl>
    <w:p/>
    <w:p>
      <w:pPr>
        <w:spacing w:after="120"/>
      </w:pPr>
      <w:r>
        <w:rPr>
          <w:sz w:val="20"/>
        </w:rPr>
        <w:t>Barriers are optics alignment, DMD control, anhydrous amidite fluidics, and specialty photolabile amidites (available but not commodity). It needs no cleanroom. Historical predecessor: POSaM (Lausted et al., 2004, Genome Biology 5(8):R58) — the original open-source inkjet synthesizer (~$34K per the OpenIDS 2024 characterization).</w:t>
      </w:r>
    </w:p>
    <w:p>
      <w:pPr>
        <w:spacing w:after="120"/>
      </w:pPr>
      <w:r>
        <w:rPr>
          <w:b/>
          <w:sz w:val="20"/>
        </w:rPr>
        <w:t>Oversight-evasion &amp; supply-chain (R0 vs R1).</w:t>
      </w:r>
      <w:r>
        <w:rPr>
          <w:sz w:val="20"/>
        </w:rPr>
        <w:t xml:space="preserve"> R0: Evasion Medium; supply-chain vulnerability Medium (visible bench build; optics/amidite sourcing partly traceable; library-grade output caps assembly-readiness). R1: Evasion Low (if classified as a benchtop synthesizer, an on-device mandate would reach it).</w:t>
      </w:r>
    </w:p>
    <w:p>
      <w:pPr>
        <w:pStyle w:val="Heading3"/>
      </w:pPr>
      <w:r>
        <w:rPr>
          <w:color w:val="1F3A5F"/>
          <w:sz w:val="20"/>
        </w:rPr>
        <w:t>2.3 Electrochemical synthesis (TRL 3)</w:t>
      </w:r>
    </w:p>
    <w:p>
      <w:pPr>
        <w:spacing w:after="120"/>
      </w:pPr>
      <w:r>
        <w:rPr>
          <w:b/>
          <w:sz w:val="20"/>
        </w:rPr>
        <w:t>Technology &amp; status.</w:t>
      </w:r>
      <w:r>
        <w:rPr>
          <w:sz w:val="20"/>
        </w:rPr>
        <w:t xml:space="preserve"> Phosphoramidite chemistry with electrochemically triggered deprotection (Xu et al., 2021, Science Advances 7(46):eabk0100). A positive potential at a gold electrode generates protons that strip the acid-labile DMT group; the demonstration synthesized a 13-mer — a DNA-data-storage proof, not a general-purpose synthesizer. The electrochemical-array mechanism was commercialized historically by CombiMatrix/CustomArray (acquired by GenScript, 2017), but no user-buildable design and no independent/DIY build has been published as of 2026. All present-day DIY accessibility claims are conditional-future framing.</w:t>
      </w:r>
    </w:p>
    <w:p>
      <w:pPr>
        <w:spacing w:after="120"/>
      </w:pPr>
      <w:r>
        <w:rPr>
          <w:b/>
          <w:sz w:val="20"/>
        </w:rPr>
        <w:t>TRL: 3 (Early Proof-of-Concept).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Dimension</w:t>
            </w:r>
          </w:p>
        </w:tc>
        <w:tc>
          <w:tcPr>
            <w:tcW w:type="dxa" w:w="2160"/>
          </w:tcPr>
          <w:p>
            <w:pPr>
              <w:spacing w:after="0"/>
            </w:pPr>
            <w:r>
              <w:rPr>
                <w:b/>
                <w:sz w:val="20"/>
              </w:rPr>
              <w:t>Best (est)</w:t>
            </w:r>
          </w:p>
        </w:tc>
        <w:tc>
          <w:tcPr>
            <w:tcW w:type="dxa" w:w="2160"/>
          </w:tcPr>
          <w:p>
            <w:pPr>
              <w:spacing w:after="0"/>
            </w:pPr>
            <w:r>
              <w:rPr>
                <w:b/>
                <w:sz w:val="20"/>
              </w:rPr>
              <w:t>Range</w:t>
            </w:r>
          </w:p>
        </w:tc>
        <w:tc>
          <w:tcPr>
            <w:tcW w:type="dxa" w:w="2160"/>
          </w:tcPr>
          <w:p>
            <w:pPr>
              <w:spacing w:after="0"/>
            </w:pPr>
            <w:r>
              <w:rPr>
                <w:b/>
                <w:sz w:val="20"/>
              </w:rPr>
              <w:t>Confidence</w:t>
            </w:r>
          </w:p>
        </w:tc>
      </w:tr>
      <w:tr>
        <w:tc>
          <w:tcPr>
            <w:tcW w:type="dxa" w:w="2160"/>
          </w:tcPr>
          <w:p>
            <w:pPr>
              <w:spacing w:after="0"/>
            </w:pPr>
            <w:r>
              <w:rPr>
                <w:sz w:val="20"/>
              </w:rPr>
              <w:t>Capital cost</w:t>
            </w:r>
          </w:p>
        </w:tc>
        <w:tc>
          <w:tcPr>
            <w:tcW w:type="dxa" w:w="2160"/>
          </w:tcPr>
          <w:p>
            <w:pPr>
              <w:spacing w:after="0"/>
            </w:pPr>
            <w:r>
              <w:rPr>
                <w:sz w:val="20"/>
              </w:rPr>
              <w:t>~$12,000</w:t>
            </w:r>
          </w:p>
        </w:tc>
        <w:tc>
          <w:tcPr>
            <w:tcW w:type="dxa" w:w="2160"/>
          </w:tcPr>
          <w:p>
            <w:pPr>
              <w:spacing w:after="0"/>
            </w:pPr>
            <w:r>
              <w:rPr>
                <w:sz w:val="20"/>
              </w:rPr>
              <w:t>$8,000–20,000</w:t>
            </w:r>
          </w:p>
        </w:tc>
        <w:tc>
          <w:tcPr>
            <w:tcW w:type="dxa" w:w="2160"/>
          </w:tcPr>
          <w:p>
            <w:pPr>
              <w:spacing w:after="0"/>
            </w:pPr>
            <w:r>
              <w:rPr>
                <w:sz w:val="20"/>
              </w:rPr>
              <w:t>LOW</w:t>
            </w:r>
          </w:p>
        </w:tc>
      </w:tr>
      <w:tr>
        <w:tc>
          <w:tcPr>
            <w:tcW w:type="dxa" w:w="2160"/>
          </w:tcPr>
          <w:p>
            <w:pPr>
              <w:spacing w:after="0"/>
            </w:pPr>
            <w:r>
              <w:rPr>
                <w:sz w:val="20"/>
              </w:rPr>
              <w:t>Per-seq cost</w:t>
            </w:r>
          </w:p>
        </w:tc>
        <w:tc>
          <w:tcPr>
            <w:tcW w:type="dxa" w:w="2160"/>
          </w:tcPr>
          <w:p>
            <w:pPr>
              <w:spacing w:after="0"/>
            </w:pPr>
            <w:r>
              <w:rPr>
                <w:sz w:val="20"/>
              </w:rPr>
              <w:t>~$1</w:t>
            </w:r>
          </w:p>
        </w:tc>
        <w:tc>
          <w:tcPr>
            <w:tcW w:type="dxa" w:w="2160"/>
          </w:tcPr>
          <w:p>
            <w:pPr>
              <w:spacing w:after="0"/>
            </w:pPr>
            <w:r>
              <w:rPr>
                <w:sz w:val="20"/>
              </w:rPr>
              <w:t>$0.50–5</w:t>
            </w:r>
          </w:p>
        </w:tc>
        <w:tc>
          <w:tcPr>
            <w:tcW w:type="dxa" w:w="2160"/>
          </w:tcPr>
          <w:p>
            <w:pPr>
              <w:spacing w:after="0"/>
            </w:pPr>
            <w:r>
              <w:rPr>
                <w:sz w:val="20"/>
              </w:rPr>
              <w:t>LOW</w:t>
            </w:r>
          </w:p>
        </w:tc>
      </w:tr>
      <w:tr>
        <w:tc>
          <w:tcPr>
            <w:tcW w:type="dxa" w:w="2160"/>
          </w:tcPr>
          <w:p>
            <w:pPr>
              <w:spacing w:after="0"/>
            </w:pPr>
            <w:r>
              <w:rPr>
                <w:sz w:val="20"/>
              </w:rPr>
              <w:t>Expertise</w:t>
            </w:r>
          </w:p>
        </w:tc>
        <w:tc>
          <w:tcPr>
            <w:tcW w:type="dxa" w:w="2160"/>
          </w:tcPr>
          <w:p>
            <w:pPr>
              <w:spacing w:after="0"/>
            </w:pPr>
            <w:r>
              <w:rPr>
                <w:sz w:val="20"/>
              </w:rPr>
              <w:t>7/10</w:t>
            </w:r>
          </w:p>
        </w:tc>
        <w:tc>
          <w:tcPr>
            <w:tcW w:type="dxa" w:w="2160"/>
          </w:tcPr>
          <w:p>
            <w:pPr>
              <w:spacing w:after="0"/>
            </w:pPr>
            <w:r>
              <w:rPr>
                <w:sz w:val="20"/>
              </w:rPr>
              <w:t>6–9</w:t>
            </w:r>
          </w:p>
        </w:tc>
        <w:tc>
          <w:tcPr>
            <w:tcW w:type="dxa" w:w="2160"/>
          </w:tcPr>
          <w:p>
            <w:pPr>
              <w:spacing w:after="0"/>
            </w:pPr>
            <w:r>
              <w:rPr>
                <w:sz w:val="20"/>
              </w:rPr>
              <w:t>MED</w:t>
            </w:r>
          </w:p>
        </w:tc>
      </w:tr>
      <w:tr>
        <w:tc>
          <w:tcPr>
            <w:tcW w:type="dxa" w:w="2160"/>
          </w:tcPr>
          <w:p>
            <w:pPr>
              <w:spacing w:after="0"/>
            </w:pPr>
            <w:r>
              <w:rPr>
                <w:sz w:val="20"/>
              </w:rPr>
              <w:t>Time-to-first</w:t>
            </w:r>
          </w:p>
        </w:tc>
        <w:tc>
          <w:tcPr>
            <w:tcW w:type="dxa" w:w="2160"/>
          </w:tcPr>
          <w:p>
            <w:pPr>
              <w:spacing w:after="0"/>
            </w:pPr>
            <w:r>
              <w:rPr>
                <w:sz w:val="20"/>
              </w:rPr>
              <w:t>~12 weeks</w:t>
            </w:r>
          </w:p>
        </w:tc>
        <w:tc>
          <w:tcPr>
            <w:tcW w:type="dxa" w:w="2160"/>
          </w:tcPr>
          <w:p>
            <w:pPr>
              <w:spacing w:after="0"/>
            </w:pPr>
            <w:r>
              <w:rPr>
                <w:sz w:val="20"/>
              </w:rPr>
              <w:t>8–24 weeks</w:t>
            </w:r>
          </w:p>
        </w:tc>
        <w:tc>
          <w:tcPr>
            <w:tcW w:type="dxa" w:w="2160"/>
          </w:tcPr>
          <w:p>
            <w:pPr>
              <w:spacing w:after="0"/>
            </w:pPr>
            <w:r>
              <w:rPr>
                <w:sz w:val="20"/>
              </w:rPr>
              <w:t>LOW</w:t>
            </w:r>
          </w:p>
        </w:tc>
      </w:tr>
      <w:tr>
        <w:tc>
          <w:tcPr>
            <w:tcW w:type="dxa" w:w="2160"/>
          </w:tcPr>
          <w:p>
            <w:pPr>
              <w:spacing w:after="0"/>
            </w:pPr>
            <w:r>
              <w:rPr>
                <w:sz w:val="20"/>
              </w:rPr>
              <w:t>Usable length @ fidelity</w:t>
            </w:r>
          </w:p>
        </w:tc>
        <w:tc>
          <w:tcPr>
            <w:tcW w:type="dxa" w:w="2160"/>
          </w:tcPr>
          <w:p>
            <w:pPr>
              <w:spacing w:after="0"/>
            </w:pPr>
            <w:r>
              <w:rPr>
                <w:sz w:val="20"/>
              </w:rPr>
              <w:t>~13–17 nt (demonstrated)</w:t>
            </w:r>
          </w:p>
        </w:tc>
        <w:tc>
          <w:tcPr>
            <w:tcW w:type="dxa" w:w="2160"/>
          </w:tcPr>
          <w:p>
            <w:pPr>
              <w:spacing w:after="0"/>
            </w:pPr>
            <w:r>
              <w:rPr>
                <w:sz w:val="20"/>
              </w:rPr>
              <w:t>not established</w:t>
            </w:r>
          </w:p>
        </w:tc>
        <w:tc>
          <w:tcPr>
            <w:tcW w:type="dxa" w:w="2160"/>
          </w:tcPr>
          <w:p>
            <w:pPr>
              <w:spacing w:after="0"/>
            </w:pPr>
            <w:r>
              <w:rPr>
                <w:sz w:val="20"/>
              </w:rPr>
              <w:t>LOW</w:t>
            </w:r>
          </w:p>
        </w:tc>
      </w:tr>
      <w:tr>
        <w:tc>
          <w:tcPr>
            <w:tcW w:type="dxa" w:w="2160"/>
          </w:tcPr>
          <w:p>
            <w:pPr>
              <w:spacing w:after="0"/>
            </w:pPr>
            <w:r>
              <w:rPr>
                <w:sz w:val="20"/>
              </w:rPr>
              <w:t>Yield</w:t>
            </w:r>
          </w:p>
        </w:tc>
        <w:tc>
          <w:tcPr>
            <w:tcW w:type="dxa" w:w="2160"/>
          </w:tcPr>
          <w:p>
            <w:pPr>
              <w:spacing w:after="0"/>
            </w:pPr>
            <w:r>
              <w:rPr>
                <w:sz w:val="20"/>
              </w:rPr>
              <w:t>~85–90%/cycle</w:t>
            </w:r>
          </w:p>
        </w:tc>
        <w:tc>
          <w:tcPr>
            <w:tcW w:type="dxa" w:w="2160"/>
          </w:tcPr>
          <w:p>
            <w:pPr>
              <w:spacing w:after="0"/>
            </w:pPr>
            <w:r>
              <w:rPr>
                <w:sz w:val="20"/>
              </w:rPr>
              <w:t>70–95%</w:t>
            </w:r>
          </w:p>
        </w:tc>
        <w:tc>
          <w:tcPr>
            <w:tcW w:type="dxa" w:w="2160"/>
          </w:tcPr>
          <w:p>
            <w:pPr>
              <w:spacing w:after="0"/>
            </w:pPr>
            <w:r>
              <w:rPr>
                <w:sz w:val="20"/>
              </w:rPr>
              <w:t>LOW</w:t>
            </w:r>
          </w:p>
        </w:tc>
      </w:tr>
    </w:tbl>
    <w:p/>
    <w:p>
      <w:pPr>
        <w:spacing w:after="120"/>
      </w:pPr>
      <w:r>
        <w:rPr>
          <w:sz w:val="20"/>
        </w:rPr>
        <w:t>Cost figures are coarse component-level estimates; no operational data exists. Requires electrochemistry expertise uncommon in synthetic biology.</w:t>
      </w:r>
    </w:p>
    <w:p>
      <w:pPr>
        <w:pStyle w:val="Heading3"/>
      </w:pPr>
      <w:r>
        <w:rPr>
          <w:color w:val="1F3A5F"/>
          <w:sz w:val="20"/>
        </w:rPr>
        <w:t>2.4 Enzymatic DNA synthesis — service model (TRL 5)</w:t>
      </w:r>
    </w:p>
    <w:p>
      <w:pPr>
        <w:spacing w:after="120"/>
      </w:pPr>
      <w:r>
        <w:rPr>
          <w:b/>
          <w:sz w:val="20"/>
        </w:rPr>
        <w:t>Technology.</w:t>
      </w:r>
      <w:r>
        <w:rPr>
          <w:sz w:val="20"/>
        </w:rPr>
        <w:t xml:space="preserve"> Terminal deoxynucleotidyl transferase (TdT) in a template-independent, single-nucleotide-addition cycle (Palluk, Arlow, de Rond et al., 2018, Nature Biotechnology 36:645–650). Delivered commercially as a service by Ansa Biotechnologies (clonal DNA up to ~50 kb via assembly; direct synthesis ~900 bp).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Dimension</w:t>
            </w:r>
          </w:p>
        </w:tc>
        <w:tc>
          <w:tcPr>
            <w:tcW w:type="dxa" w:w="2160"/>
          </w:tcPr>
          <w:p>
            <w:pPr>
              <w:spacing w:after="0"/>
            </w:pPr>
            <w:r>
              <w:rPr>
                <w:b/>
                <w:sz w:val="20"/>
              </w:rPr>
              <w:t>Value</w:t>
            </w:r>
          </w:p>
        </w:tc>
        <w:tc>
          <w:tcPr>
            <w:tcW w:type="dxa" w:w="2160"/>
          </w:tcPr>
          <w:p>
            <w:pPr>
              <w:spacing w:after="0"/>
            </w:pPr>
            <w:r>
              <w:rPr>
                <w:b/>
                <w:sz w:val="20"/>
              </w:rPr>
              <w:t>Range</w:t>
            </w:r>
          </w:p>
        </w:tc>
        <w:tc>
          <w:tcPr>
            <w:tcW w:type="dxa" w:w="2160"/>
          </w:tcPr>
          <w:p>
            <w:pPr>
              <w:spacing w:after="0"/>
            </w:pPr>
            <w:r>
              <w:rPr>
                <w:b/>
                <w:sz w:val="20"/>
              </w:rPr>
              <w:t>Confidence</w:t>
            </w:r>
          </w:p>
        </w:tc>
      </w:tr>
      <w:tr>
        <w:tc>
          <w:tcPr>
            <w:tcW w:type="dxa" w:w="2160"/>
          </w:tcPr>
          <w:p>
            <w:pPr>
              <w:spacing w:after="0"/>
            </w:pPr>
            <w:r>
              <w:rPr>
                <w:sz w:val="20"/>
              </w:rPr>
              <w:t>Capital (customer)</w:t>
            </w:r>
          </w:p>
        </w:tc>
        <w:tc>
          <w:tcPr>
            <w:tcW w:type="dxa" w:w="2160"/>
          </w:tcPr>
          <w:p>
            <w:pPr>
              <w:spacing w:after="0"/>
            </w:pPr>
            <w:r>
              <w:rPr>
                <w:sz w:val="20"/>
              </w:rPr>
              <w:t>$0 (service)</w:t>
            </w:r>
          </w:p>
        </w:tc>
        <w:tc>
          <w:tcPr>
            <w:tcW w:type="dxa" w:w="2160"/>
          </w:tcPr>
          <w:p>
            <w:pPr>
              <w:spacing w:after="0"/>
            </w:pPr>
            <w:r>
              <w:rPr>
                <w:sz w:val="20"/>
              </w:rPr>
              <w:t>—</w:t>
            </w:r>
          </w:p>
        </w:tc>
        <w:tc>
          <w:tcPr>
            <w:tcW w:type="dxa" w:w="2160"/>
          </w:tcPr>
          <w:p>
            <w:pPr>
              <w:spacing w:after="0"/>
            </w:pPr>
            <w:r>
              <w:rPr>
                <w:sz w:val="20"/>
              </w:rPr>
              <w:t>HIGH</w:t>
            </w:r>
          </w:p>
        </w:tc>
      </w:tr>
      <w:tr>
        <w:tc>
          <w:tcPr>
            <w:tcW w:type="dxa" w:w="2160"/>
          </w:tcPr>
          <w:p>
            <w:pPr>
              <w:spacing w:after="0"/>
            </w:pPr>
            <w:r>
              <w:rPr>
                <w:sz w:val="20"/>
              </w:rPr>
              <w:t>Cost per usable base</w:t>
            </w:r>
          </w:p>
        </w:tc>
        <w:tc>
          <w:tcPr>
            <w:tcW w:type="dxa" w:w="2160"/>
          </w:tcPr>
          <w:p>
            <w:pPr>
              <w:spacing w:after="0"/>
            </w:pPr>
            <w:r>
              <w:rPr>
                <w:sz w:val="20"/>
              </w:rPr>
              <w:t>$0.13–0.38/bp (clonal, length-tiered); $195/construct ≤1.5 kb</w:t>
            </w:r>
          </w:p>
        </w:tc>
        <w:tc>
          <w:tcPr>
            <w:tcW w:type="dxa" w:w="2160"/>
          </w:tcPr>
          <w:p>
            <w:pPr>
              <w:spacing w:after="0"/>
            </w:pPr>
            <w:r>
              <w:rPr>
                <w:sz w:val="20"/>
              </w:rPr>
              <w:t>—</w:t>
            </w:r>
          </w:p>
        </w:tc>
        <w:tc>
          <w:tcPr>
            <w:tcW w:type="dxa" w:w="2160"/>
          </w:tcPr>
          <w:p>
            <w:pPr>
              <w:spacing w:after="0"/>
            </w:pPr>
            <w:r>
              <w:rPr>
                <w:sz w:val="20"/>
              </w:rPr>
              <w:t>VENDOR</w:t>
            </w:r>
          </w:p>
        </w:tc>
      </w:tr>
      <w:tr>
        <w:tc>
          <w:tcPr>
            <w:tcW w:type="dxa" w:w="2160"/>
          </w:tcPr>
          <w:p>
            <w:pPr>
              <w:spacing w:after="0"/>
            </w:pPr>
            <w:r>
              <w:rPr>
                <w:sz w:val="20"/>
              </w:rPr>
              <w:t>Expertise</w:t>
            </w:r>
          </w:p>
        </w:tc>
        <w:tc>
          <w:tcPr>
            <w:tcW w:type="dxa" w:w="2160"/>
          </w:tcPr>
          <w:p>
            <w:pPr>
              <w:spacing w:after="0"/>
            </w:pPr>
            <w:r>
              <w:rPr>
                <w:sz w:val="20"/>
              </w:rPr>
              <w:t>2/10</w:t>
            </w:r>
          </w:p>
        </w:tc>
        <w:tc>
          <w:tcPr>
            <w:tcW w:type="dxa" w:w="2160"/>
          </w:tcPr>
          <w:p>
            <w:pPr>
              <w:spacing w:after="0"/>
            </w:pPr>
            <w:r>
              <w:rPr>
                <w:sz w:val="20"/>
              </w:rPr>
              <w:t>1–3</w:t>
            </w:r>
          </w:p>
        </w:tc>
        <w:tc>
          <w:tcPr>
            <w:tcW w:type="dxa" w:w="2160"/>
          </w:tcPr>
          <w:p>
            <w:pPr>
              <w:spacing w:after="0"/>
            </w:pPr>
            <w:r>
              <w:rPr>
                <w:sz w:val="20"/>
              </w:rPr>
              <w:t>HIGH</w:t>
            </w:r>
          </w:p>
        </w:tc>
      </w:tr>
      <w:tr>
        <w:tc>
          <w:tcPr>
            <w:tcW w:type="dxa" w:w="2160"/>
          </w:tcPr>
          <w:p>
            <w:pPr>
              <w:spacing w:after="0"/>
            </w:pPr>
            <w:r>
              <w:rPr>
                <w:sz w:val="20"/>
              </w:rPr>
              <w:t>Turnaround</w:t>
            </w:r>
          </w:p>
        </w:tc>
        <w:tc>
          <w:tcPr>
            <w:tcW w:type="dxa" w:w="2160"/>
          </w:tcPr>
          <w:p>
            <w:pPr>
              <w:spacing w:after="0"/>
            </w:pPr>
            <w:r>
              <w:rPr>
                <w:sz w:val="20"/>
              </w:rPr>
              <w:t>~7 days</w:t>
            </w:r>
          </w:p>
        </w:tc>
        <w:tc>
          <w:tcPr>
            <w:tcW w:type="dxa" w:w="2160"/>
          </w:tcPr>
          <w:p>
            <w:pPr>
              <w:spacing w:after="0"/>
            </w:pPr>
            <w:r>
              <w:rPr>
                <w:sz w:val="20"/>
              </w:rPr>
              <w:t>3–14 d</w:t>
            </w:r>
          </w:p>
        </w:tc>
        <w:tc>
          <w:tcPr>
            <w:tcW w:type="dxa" w:w="2160"/>
          </w:tcPr>
          <w:p>
            <w:pPr>
              <w:spacing w:after="0"/>
            </w:pPr>
            <w:r>
              <w:rPr>
                <w:sz w:val="20"/>
              </w:rPr>
              <w:t>MED</w:t>
            </w:r>
          </w:p>
        </w:tc>
      </w:tr>
      <w:tr>
        <w:tc>
          <w:tcPr>
            <w:tcW w:type="dxa" w:w="2160"/>
          </w:tcPr>
          <w:p>
            <w:pPr>
              <w:spacing w:after="0"/>
            </w:pPr>
            <w:r>
              <w:rPr>
                <w:sz w:val="20"/>
              </w:rPr>
              <w:t>Usable length @ high fidelity</w:t>
            </w:r>
          </w:p>
        </w:tc>
        <w:tc>
          <w:tcPr>
            <w:tcW w:type="dxa" w:w="2160"/>
          </w:tcPr>
          <w:p>
            <w:pPr>
              <w:spacing w:after="0"/>
            </w:pPr>
            <w:r>
              <w:rPr>
                <w:sz w:val="20"/>
              </w:rPr>
              <w:t>verified product (service)</w:t>
            </w:r>
          </w:p>
        </w:tc>
        <w:tc>
          <w:tcPr>
            <w:tcW w:type="dxa" w:w="2160"/>
          </w:tcPr>
          <w:p>
            <w:pPr>
              <w:spacing w:after="0"/>
            </w:pPr>
            <w:r>
              <w:rPr>
                <w:sz w:val="20"/>
              </w:rPr>
              <w:t>—</w:t>
            </w:r>
          </w:p>
        </w:tc>
        <w:tc>
          <w:tcPr>
            <w:tcW w:type="dxa" w:w="2160"/>
          </w:tcPr>
          <w:p>
            <w:pPr>
              <w:spacing w:after="0"/>
            </w:pPr>
            <w:r>
              <w:rPr>
                <w:sz w:val="20"/>
              </w:rPr>
              <w:t>MED</w:t>
            </w:r>
          </w:p>
        </w:tc>
      </w:tr>
      <w:tr>
        <w:tc>
          <w:tcPr>
            <w:tcW w:type="dxa" w:w="2160"/>
          </w:tcPr>
          <w:p>
            <w:pPr>
              <w:spacing w:after="0"/>
            </w:pPr>
            <w:r>
              <w:rPr>
                <w:sz w:val="20"/>
              </w:rPr>
              <w:t>Assembled length (OOS)</w:t>
            </w:r>
          </w:p>
        </w:tc>
        <w:tc>
          <w:tcPr>
            <w:tcW w:type="dxa" w:w="2160"/>
          </w:tcPr>
          <w:p>
            <w:pPr>
              <w:spacing w:after="0"/>
            </w:pPr>
            <w:r>
              <w:rPr>
                <w:sz w:val="20"/>
              </w:rPr>
              <w:t>up to ~50 kb via assembly</w:t>
            </w:r>
          </w:p>
        </w:tc>
        <w:tc>
          <w:tcPr>
            <w:tcW w:type="dxa" w:w="2160"/>
          </w:tcPr>
          <w:p>
            <w:pPr>
              <w:spacing w:after="0"/>
            </w:pPr>
            <w:r>
              <w:rPr>
                <w:sz w:val="20"/>
              </w:rPr>
              <w:t>—</w:t>
            </w:r>
          </w:p>
        </w:tc>
        <w:tc>
          <w:tcPr>
            <w:tcW w:type="dxa" w:w="2160"/>
          </w:tcPr>
          <w:p>
            <w:pPr>
              <w:spacing w:after="0"/>
            </w:pPr>
            <w:r>
              <w:rPr>
                <w:sz w:val="20"/>
              </w:rPr>
              <w:t>MED</w:t>
            </w:r>
          </w:p>
        </w:tc>
      </w:tr>
    </w:tbl>
    <w:p/>
    <w:p>
      <w:pPr>
        <w:spacing w:after="120"/>
      </w:pPr>
      <w:r>
        <w:rPr>
          <w:b/>
          <w:sz w:val="20"/>
        </w:rPr>
        <w:t>Oversight-evasion (R0 → R1).</w:t>
      </w:r>
      <w:r>
        <w:rPr>
          <w:sz w:val="20"/>
        </w:rPr>
        <w:t xml:space="preserve"> R0: evasion Low, supply-chain vulnerability Low (provider is the controllable chokepoint; Ansa screens voluntarily). R1: evasion Very Low, supply-chain vulnerability Very Low (mandatory screening + federal enforcement).</w:t>
      </w:r>
    </w:p>
    <w:p>
      <w:pPr>
        <w:pStyle w:val="Heading3"/>
      </w:pPr>
      <w:r>
        <w:rPr>
          <w:color w:val="1F3A5F"/>
          <w:sz w:val="20"/>
        </w:rPr>
        <w:t>2.5 Enzymatic DNA synthesis — benchtop instrument (TRL 5)</w:t>
      </w:r>
    </w:p>
    <w:p>
      <w:pPr>
        <w:spacing w:after="120"/>
      </w:pPr>
      <w:r>
        <w:rPr>
          <w:sz w:val="20"/>
        </w:rPr>
        <w:t>DNA Script SYNTAX is production-ready but not yet widely adopted.</w:t>
      </w:r>
    </w:p>
    <w:p>
      <w:pPr>
        <w:spacing w:after="120"/>
      </w:pPr>
      <w:r>
        <w:rPr>
          <w:b/>
          <w:sz w:val="20"/>
        </w:rPr>
        <w:t>DIY enzymatic — the honest picture.</w:t>
      </w:r>
      <w:r>
        <w:rPr>
          <w:sz w:val="20"/>
        </w:rPr>
        <w:t xml:space="preserve"> The only off-the-shelf DIY enzymatic route (commercial TdT + natural dNTPs + apyrase; Lee et al., 2019, Nat. Commun. 10:2383) is terminator-free / kinetic — it makes stochastic homopolymer runs for data storage, not a defined sequence. Making the reagents in-house is not a shortcut: the modified nucleotide and the engineered TdT must be co-developed, a program spanning nucleoside chemistry and protein engineering that took venture-funded firms years. So enzymatic is not a low-barrier DIY path to a functional oligo.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b/>
                <w:sz w:val="20"/>
              </w:rPr>
              <w:t>Dimension</w:t>
            </w:r>
          </w:p>
        </w:tc>
        <w:tc>
          <w:tcPr>
            <w:tcW w:type="dxa" w:w="1728"/>
          </w:tcPr>
          <w:p>
            <w:pPr>
              <w:spacing w:after="0"/>
            </w:pPr>
            <w:r>
              <w:rPr>
                <w:b/>
                <w:sz w:val="20"/>
              </w:rPr>
              <w:t>Value</w:t>
            </w:r>
          </w:p>
        </w:tc>
        <w:tc>
          <w:tcPr>
            <w:tcW w:type="dxa" w:w="1728"/>
          </w:tcPr>
          <w:p>
            <w:pPr>
              <w:spacing w:after="0"/>
            </w:pPr>
            <w:r>
              <w:rPr>
                <w:b/>
                <w:sz w:val="20"/>
              </w:rPr>
              <w:t>Range</w:t>
            </w:r>
          </w:p>
        </w:tc>
        <w:tc>
          <w:tcPr>
            <w:tcW w:type="dxa" w:w="1728"/>
          </w:tcPr>
          <w:p>
            <w:pPr>
              <w:spacing w:after="0"/>
            </w:pPr>
            <w:r>
              <w:rPr>
                <w:b/>
                <w:sz w:val="20"/>
              </w:rPr>
              <w:t>Confidence</w:t>
            </w:r>
          </w:p>
        </w:tc>
        <w:tc>
          <w:tcPr>
            <w:tcW w:type="dxa" w:w="1728"/>
          </w:tcPr>
          <w:p>
            <w:pPr>
              <w:spacing w:after="0"/>
            </w:pPr>
            <w:r>
              <w:rPr>
                <w:b/>
                <w:sz w:val="20"/>
              </w:rPr>
              <w:t>Note</w:t>
            </w:r>
          </w:p>
        </w:tc>
      </w:tr>
      <w:tr>
        <w:tc>
          <w:tcPr>
            <w:tcW w:type="dxa" w:w="1728"/>
          </w:tcPr>
          <w:p>
            <w:pPr>
              <w:spacing w:after="0"/>
            </w:pPr>
            <w:r>
              <w:rPr>
                <w:sz w:val="20"/>
              </w:rPr>
              <w:t>Capital</w:t>
            </w:r>
          </w:p>
        </w:tc>
        <w:tc>
          <w:tcPr>
            <w:tcW w:type="dxa" w:w="1728"/>
          </w:tcPr>
          <w:p>
            <w:pPr>
              <w:spacing w:after="0"/>
            </w:pPr>
            <w:r>
              <w:rPr>
                <w:sz w:val="20"/>
              </w:rPr>
              <w:t>€250K cloud / €280,500 on-premises (~$270–303K)</w:t>
            </w:r>
          </w:p>
        </w:tc>
        <w:tc>
          <w:tcPr>
            <w:tcW w:type="dxa" w:w="1728"/>
          </w:tcPr>
          <w:p>
            <w:pPr>
              <w:spacing w:after="0"/>
            </w:pPr>
            <w:r>
              <w:rPr>
                <w:sz w:val="20"/>
              </w:rPr>
              <w:t>—</w:t>
            </w:r>
          </w:p>
        </w:tc>
        <w:tc>
          <w:tcPr>
            <w:tcW w:type="dxa" w:w="1728"/>
          </w:tcPr>
          <w:p>
            <w:pPr>
              <w:spacing w:after="0"/>
            </w:pPr>
            <w:r>
              <w:rPr>
                <w:sz w:val="20"/>
              </w:rPr>
              <w:t>VENDOR QUOTE</w:t>
            </w:r>
          </w:p>
        </w:tc>
        <w:tc>
          <w:tcPr>
            <w:tcW w:type="dxa" w:w="1728"/>
          </w:tcPr>
          <w:p>
            <w:pPr>
              <w:spacing w:after="0"/>
            </w:pPr>
            <w:r>
              <w:rPr>
                <w:sz w:val="20"/>
              </w:rPr>
              <w:t>DNA Script quote, Jul 2026; corroborates IFP $292K</w:t>
            </w:r>
          </w:p>
        </w:tc>
      </w:tr>
      <w:tr>
        <w:tc>
          <w:tcPr>
            <w:tcW w:type="dxa" w:w="1728"/>
          </w:tcPr>
          <w:p>
            <w:pPr>
              <w:spacing w:after="0"/>
            </w:pPr>
            <w:r>
              <w:rPr>
                <w:sz w:val="20"/>
              </w:rPr>
              <w:t>Cost per usable base</w:t>
            </w:r>
          </w:p>
        </w:tc>
        <w:tc>
          <w:tcPr>
            <w:tcW w:type="dxa" w:w="1728"/>
          </w:tcPr>
          <w:p>
            <w:pPr>
              <w:spacing w:after="0"/>
            </w:pPr>
            <w:r>
              <w:rPr>
                <w:sz w:val="20"/>
              </w:rPr>
              <w:t>€0.11–0.26/base (~$0.12–0.28) incl. kits</w:t>
            </w:r>
          </w:p>
        </w:tc>
        <w:tc>
          <w:tcPr>
            <w:tcW w:type="dxa" w:w="1728"/>
          </w:tcPr>
          <w:p>
            <w:pPr>
              <w:spacing w:after="0"/>
            </w:pPr>
            <w:r>
              <w:rPr>
                <w:sz w:val="20"/>
              </w:rPr>
              <w:t>best €0.11 (384-plex) / €0.19 (120 nt Hi-Fi)</w:t>
            </w:r>
          </w:p>
        </w:tc>
        <w:tc>
          <w:tcPr>
            <w:tcW w:type="dxa" w:w="1728"/>
          </w:tcPr>
          <w:p>
            <w:pPr>
              <w:spacing w:after="0"/>
            </w:pPr>
            <w:r>
              <w:rPr>
                <w:sz w:val="20"/>
              </w:rPr>
              <w:t>VENDOR QUOTE</w:t>
            </w:r>
          </w:p>
        </w:tc>
        <w:tc>
          <w:tcPr>
            <w:tcW w:type="dxa" w:w="1728"/>
          </w:tcPr>
          <w:p>
            <w:pPr>
              <w:spacing w:after="0"/>
            </w:pPr>
            <w:r>
              <w:rPr>
                <w:sz w:val="20"/>
              </w:rPr>
              <w:t>synthesis kit €1,400 (12,000 bases, ~4 runs) + run kits €150–1,094</w:t>
            </w:r>
          </w:p>
        </w:tc>
      </w:tr>
      <w:tr>
        <w:tc>
          <w:tcPr>
            <w:tcW w:type="dxa" w:w="1728"/>
          </w:tcPr>
          <w:p>
            <w:pPr>
              <w:spacing w:after="0"/>
            </w:pPr>
            <w:r>
              <w:rPr>
                <w:sz w:val="20"/>
              </w:rPr>
              <w:t>Expertise</w:t>
            </w:r>
          </w:p>
        </w:tc>
        <w:tc>
          <w:tcPr>
            <w:tcW w:type="dxa" w:w="1728"/>
          </w:tcPr>
          <w:p>
            <w:pPr>
              <w:spacing w:after="0"/>
            </w:pPr>
            <w:r>
              <w:rPr>
                <w:sz w:val="20"/>
              </w:rPr>
              <w:t>5/10</w:t>
            </w:r>
          </w:p>
        </w:tc>
        <w:tc>
          <w:tcPr>
            <w:tcW w:type="dxa" w:w="1728"/>
          </w:tcPr>
          <w:p>
            <w:pPr>
              <w:spacing w:after="0"/>
            </w:pPr>
            <w:r>
              <w:rPr>
                <w:sz w:val="20"/>
              </w:rPr>
              <w:t>4–7</w:t>
            </w:r>
          </w:p>
        </w:tc>
        <w:tc>
          <w:tcPr>
            <w:tcW w:type="dxa" w:w="1728"/>
          </w:tcPr>
          <w:p>
            <w:pPr>
              <w:spacing w:after="0"/>
            </w:pPr>
            <w:r>
              <w:rPr>
                <w:sz w:val="20"/>
              </w:rPr>
              <w:t>MED</w:t>
            </w:r>
          </w:p>
        </w:tc>
        <w:tc>
          <w:tcPr>
            <w:tcW w:type="dxa" w:w="1728"/>
          </w:tcPr>
          <w:p>
            <w:pPr>
              <w:spacing w:after="0"/>
            </w:pPr>
            <w:r>
              <w:rPr>
                <w:sz w:val="20"/>
              </w:rPr>
              <w:t>closed proprietary system</w:t>
            </w:r>
          </w:p>
        </w:tc>
      </w:tr>
      <w:tr>
        <w:tc>
          <w:tcPr>
            <w:tcW w:type="dxa" w:w="1728"/>
          </w:tcPr>
          <w:p>
            <w:pPr>
              <w:spacing w:after="0"/>
            </w:pPr>
            <w:r>
              <w:rPr>
                <w:sz w:val="20"/>
              </w:rPr>
              <w:t>Time-to-first</w:t>
            </w:r>
          </w:p>
        </w:tc>
        <w:tc>
          <w:tcPr>
            <w:tcW w:type="dxa" w:w="1728"/>
          </w:tcPr>
          <w:p>
            <w:pPr>
              <w:spacing w:after="0"/>
            </w:pPr>
            <w:r>
              <w:rPr>
                <w:sz w:val="20"/>
              </w:rPr>
              <w:t>3–5 days</w:t>
            </w:r>
          </w:p>
        </w:tc>
        <w:tc>
          <w:tcPr>
            <w:tcW w:type="dxa" w:w="1728"/>
          </w:tcPr>
          <w:p>
            <w:pPr>
              <w:spacing w:after="0"/>
            </w:pPr>
            <w:r>
              <w:rPr>
                <w:sz w:val="20"/>
              </w:rPr>
              <w:t>1–7 d</w:t>
            </w:r>
          </w:p>
        </w:tc>
        <w:tc>
          <w:tcPr>
            <w:tcW w:type="dxa" w:w="1728"/>
          </w:tcPr>
          <w:p>
            <w:pPr>
              <w:spacing w:after="0"/>
            </w:pPr>
            <w:r>
              <w:rPr>
                <w:sz w:val="20"/>
              </w:rPr>
              <w:t>MED</w:t>
            </w:r>
          </w:p>
        </w:tc>
        <w:tc>
          <w:tcPr>
            <w:tcW w:type="dxa" w:w="1728"/>
          </w:tcPr>
          <w:p>
            <w:pPr>
              <w:spacing w:after="0"/>
            </w:pPr>
          </w:p>
        </w:tc>
      </w:tr>
      <w:tr>
        <w:tc>
          <w:tcPr>
            <w:tcW w:type="dxa" w:w="1728"/>
          </w:tcPr>
          <w:p>
            <w:pPr>
              <w:spacing w:after="0"/>
            </w:pPr>
            <w:r>
              <w:rPr>
                <w:sz w:val="20"/>
              </w:rPr>
              <w:t>Usable length @ high fidelity</w:t>
            </w:r>
          </w:p>
        </w:tc>
        <w:tc>
          <w:tcPr>
            <w:tcW w:type="dxa" w:w="1728"/>
          </w:tcPr>
          <w:p>
            <w:pPr>
              <w:spacing w:after="0"/>
            </w:pPr>
            <w:r>
              <w:rPr>
                <w:sz w:val="20"/>
              </w:rPr>
              <w:t>80–120 nt (oligo)</w:t>
            </w:r>
          </w:p>
        </w:tc>
        <w:tc>
          <w:tcPr>
            <w:tcW w:type="dxa" w:w="1728"/>
          </w:tcPr>
          <w:p>
            <w:pPr>
              <w:spacing w:after="0"/>
            </w:pPr>
            <w:r>
              <w:rPr>
                <w:sz w:val="20"/>
              </w:rPr>
              <w:t>15–120 nt</w:t>
            </w:r>
          </w:p>
        </w:tc>
        <w:tc>
          <w:tcPr>
            <w:tcW w:type="dxa" w:w="1728"/>
          </w:tcPr>
          <w:p>
            <w:pPr>
              <w:spacing w:after="0"/>
            </w:pPr>
            <w:r>
              <w:rPr>
                <w:sz w:val="20"/>
              </w:rPr>
              <w:t>MED–HIGH</w:t>
            </w:r>
          </w:p>
        </w:tc>
        <w:tc>
          <w:tcPr>
            <w:tcW w:type="dxa" w:w="1728"/>
          </w:tcPr>
          <w:p>
            <w:pPr>
              <w:spacing w:after="0"/>
            </w:pPr>
            <w:r>
              <w:rPr>
                <w:sz w:val="20"/>
              </w:rPr>
              <w:t>not 10 kb; kilobase output is assembly (OOS)</w:t>
            </w:r>
          </w:p>
        </w:tc>
      </w:tr>
      <w:tr>
        <w:tc>
          <w:tcPr>
            <w:tcW w:type="dxa" w:w="1728"/>
          </w:tcPr>
          <w:p>
            <w:pPr>
              <w:spacing w:after="0"/>
            </w:pPr>
            <w:r>
              <w:rPr>
                <w:sz w:val="20"/>
              </w:rPr>
              <w:t>Throughput</w:t>
            </w:r>
          </w:p>
        </w:tc>
        <w:tc>
          <w:tcPr>
            <w:tcW w:type="dxa" w:w="1728"/>
          </w:tcPr>
          <w:p>
            <w:pPr>
              <w:spacing w:after="0"/>
            </w:pPr>
            <w:r>
              <w:rPr>
                <w:sz w:val="20"/>
              </w:rPr>
              <w:t>96 parallel</w:t>
            </w:r>
          </w:p>
        </w:tc>
        <w:tc>
          <w:tcPr>
            <w:tcW w:type="dxa" w:w="1728"/>
          </w:tcPr>
          <w:p>
            <w:pPr>
              <w:spacing w:after="0"/>
            </w:pPr>
            <w:r>
              <w:rPr>
                <w:sz w:val="20"/>
              </w:rPr>
              <w:t>—</w:t>
            </w:r>
          </w:p>
        </w:tc>
        <w:tc>
          <w:tcPr>
            <w:tcW w:type="dxa" w:w="1728"/>
          </w:tcPr>
          <w:p>
            <w:pPr>
              <w:spacing w:after="0"/>
            </w:pPr>
            <w:r>
              <w:rPr>
                <w:sz w:val="20"/>
              </w:rPr>
              <w:t>HIGH</w:t>
            </w:r>
          </w:p>
        </w:tc>
        <w:tc>
          <w:tcPr>
            <w:tcW w:type="dxa" w:w="1728"/>
          </w:tcPr>
          <w:p>
            <w:pPr>
              <w:spacing w:after="0"/>
            </w:pPr>
          </w:p>
        </w:tc>
      </w:tr>
      <w:tr>
        <w:tc>
          <w:tcPr>
            <w:tcW w:type="dxa" w:w="1728"/>
          </w:tcPr>
          <w:p>
            <w:pPr>
              <w:spacing w:after="0"/>
            </w:pPr>
            <w:r>
              <w:rPr>
                <w:sz w:val="20"/>
              </w:rPr>
              <w:t>Yield (per-cycle)</w:t>
            </w:r>
          </w:p>
        </w:tc>
        <w:tc>
          <w:tcPr>
            <w:tcW w:type="dxa" w:w="1728"/>
          </w:tcPr>
          <w:p>
            <w:pPr>
              <w:spacing w:after="0"/>
            </w:pPr>
            <w:r>
              <w:rPr>
                <w:sz w:val="20"/>
              </w:rPr>
              <w:t>~95%+</w:t>
            </w:r>
          </w:p>
        </w:tc>
        <w:tc>
          <w:tcPr>
            <w:tcW w:type="dxa" w:w="1728"/>
          </w:tcPr>
          <w:p>
            <w:pPr>
              <w:spacing w:after="0"/>
            </w:pPr>
            <w:r>
              <w:rPr>
                <w:sz w:val="20"/>
              </w:rPr>
              <w:t>90–99%</w:t>
            </w:r>
          </w:p>
        </w:tc>
        <w:tc>
          <w:tcPr>
            <w:tcW w:type="dxa" w:w="1728"/>
          </w:tcPr>
          <w:p>
            <w:pPr>
              <w:spacing w:after="0"/>
            </w:pPr>
            <w:r>
              <w:rPr>
                <w:sz w:val="20"/>
              </w:rPr>
              <w:t>HIGH</w:t>
            </w:r>
          </w:p>
        </w:tc>
        <w:tc>
          <w:tcPr>
            <w:tcW w:type="dxa" w:w="1728"/>
          </w:tcPr>
          <w:p>
            <w:pPr>
              <w:spacing w:after="0"/>
            </w:pPr>
          </w:p>
        </w:tc>
      </w:tr>
    </w:tbl>
    <w:p/>
    <w:p>
      <w:pPr>
        <w:spacing w:after="120"/>
      </w:pPr>
      <w:r>
        <w:rPr>
          <w:b/>
          <w:sz w:val="20"/>
        </w:rPr>
        <w:t>Note — benchtop ≠ DIY.</w:t>
      </w:r>
      <w:r>
        <w:rPr>
          <w:sz w:val="20"/>
        </w:rPr>
        <w:t xml:space="preserve"> SYNTAX is purchasable but not independently reproducible: it runs on proprietary reagent cartridges under licensing, so the consumable is a closed chokepoint. Its DIY-relevance is through acquisition, not reproduction.</w:t>
      </w:r>
    </w:p>
    <w:p>
      <w:pPr>
        <w:pStyle w:val="Heading3"/>
      </w:pPr>
      <w:r>
        <w:rPr>
          <w:color w:val="1F3A5F"/>
          <w:sz w:val="20"/>
        </w:rPr>
        <w:t>2.6 DropSynth (emulsion assembly, TRL 4)</w:t>
      </w:r>
    </w:p>
    <w:p>
      <w:pPr>
        <w:spacing w:after="120"/>
      </w:pPr>
      <w:r>
        <w:rPr>
          <w:b/>
          <w:sz w:val="20"/>
        </w:rPr>
        <w:t>Technology &amp; status.</w:t>
      </w:r>
      <w:r>
        <w:rPr>
          <w:sz w:val="20"/>
        </w:rPr>
        <w:t xml:space="preserve"> DropSynth builds gene-length fragments by compartmentalizing and assembling microarray-derived oligos in emulsions (Sidore, Plesa, Samson, Lubock &amp; Kosuri, 2020, Nucleic Acids Research 48(16):e95; orig. Plesa et al., 2018, Science 359:343). It is an assembly method on an upstream oligo-pool source, not a standalone de novo synthesizer. TRL 4 (lab-validated research prototype).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Dimension</w:t>
            </w:r>
          </w:p>
        </w:tc>
        <w:tc>
          <w:tcPr>
            <w:tcW w:type="dxa" w:w="2160"/>
          </w:tcPr>
          <w:p>
            <w:pPr>
              <w:spacing w:after="0"/>
            </w:pPr>
            <w:r>
              <w:rPr>
                <w:b/>
                <w:sz w:val="20"/>
              </w:rPr>
              <w:t>Value (est)</w:t>
            </w:r>
          </w:p>
        </w:tc>
        <w:tc>
          <w:tcPr>
            <w:tcW w:type="dxa" w:w="2160"/>
          </w:tcPr>
          <w:p>
            <w:pPr>
              <w:spacing w:after="0"/>
            </w:pPr>
            <w:r>
              <w:rPr>
                <w:b/>
                <w:sz w:val="20"/>
              </w:rPr>
              <w:t>Range</w:t>
            </w:r>
          </w:p>
        </w:tc>
        <w:tc>
          <w:tcPr>
            <w:tcW w:type="dxa" w:w="2160"/>
          </w:tcPr>
          <w:p>
            <w:pPr>
              <w:spacing w:after="0"/>
            </w:pPr>
            <w:r>
              <w:rPr>
                <w:b/>
                <w:sz w:val="20"/>
              </w:rPr>
              <w:t>Confidence</w:t>
            </w:r>
          </w:p>
        </w:tc>
      </w:tr>
      <w:tr>
        <w:tc>
          <w:tcPr>
            <w:tcW w:type="dxa" w:w="2160"/>
          </w:tcPr>
          <w:p>
            <w:pPr>
              <w:spacing w:after="0"/>
            </w:pPr>
            <w:r>
              <w:rPr>
                <w:sz w:val="20"/>
              </w:rPr>
              <w:t>Capital (bead pool)</w:t>
            </w:r>
          </w:p>
        </w:tc>
        <w:tc>
          <w:tcPr>
            <w:tcW w:type="dxa" w:w="2160"/>
          </w:tcPr>
          <w:p>
            <w:pPr>
              <w:spacing w:after="0"/>
            </w:pPr>
            <w:r>
              <w:rPr>
                <w:sz w:val="20"/>
              </w:rPr>
              <w:t>~$3,400</w:t>
            </w:r>
          </w:p>
        </w:tc>
        <w:tc>
          <w:tcPr>
            <w:tcW w:type="dxa" w:w="2160"/>
          </w:tcPr>
          <w:p>
            <w:pPr>
              <w:spacing w:after="0"/>
            </w:pPr>
            <w:r>
              <w:rPr>
                <w:sz w:val="20"/>
              </w:rPr>
              <w:t>$3–4K</w:t>
            </w:r>
          </w:p>
        </w:tc>
        <w:tc>
          <w:tcPr>
            <w:tcW w:type="dxa" w:w="2160"/>
          </w:tcPr>
          <w:p>
            <w:pPr>
              <w:spacing w:after="0"/>
            </w:pPr>
            <w:r>
              <w:rPr>
                <w:sz w:val="20"/>
              </w:rPr>
              <w:t>MED</w:t>
            </w:r>
          </w:p>
        </w:tc>
      </w:tr>
      <w:tr>
        <w:tc>
          <w:tcPr>
            <w:tcW w:type="dxa" w:w="2160"/>
          </w:tcPr>
          <w:p>
            <w:pPr>
              <w:spacing w:after="0"/>
            </w:pPr>
            <w:r>
              <w:rPr>
                <w:sz w:val="20"/>
              </w:rPr>
              <w:t>Cost per usable base</w:t>
            </w:r>
          </w:p>
        </w:tc>
        <w:tc>
          <w:tcPr>
            <w:tcW w:type="dxa" w:w="2160"/>
          </w:tcPr>
          <w:p>
            <w:pPr>
              <w:spacing w:after="0"/>
            </w:pPr>
            <w:r>
              <w:rPr>
                <w:sz w:val="20"/>
              </w:rPr>
              <w:t>$1.24/gene (384-plex); $0.72/gene (1,536-plex) incl. amortised beads</w:t>
            </w:r>
          </w:p>
        </w:tc>
        <w:tc>
          <w:tcPr>
            <w:tcW w:type="dxa" w:w="2160"/>
          </w:tcPr>
          <w:p>
            <w:pPr>
              <w:spacing w:after="0"/>
            </w:pPr>
            <w:r>
              <w:rPr>
                <w:sz w:val="20"/>
              </w:rPr>
              <w:t>—</w:t>
            </w:r>
          </w:p>
        </w:tc>
        <w:tc>
          <w:tcPr>
            <w:tcW w:type="dxa" w:w="2160"/>
          </w:tcPr>
          <w:p>
            <w:pPr>
              <w:spacing w:after="0"/>
            </w:pPr>
            <w:r>
              <w:rPr>
                <w:sz w:val="20"/>
              </w:rPr>
              <w:t>PAPER</w:t>
            </w:r>
          </w:p>
        </w:tc>
      </w:tr>
      <w:tr>
        <w:tc>
          <w:tcPr>
            <w:tcW w:type="dxa" w:w="2160"/>
          </w:tcPr>
          <w:p>
            <w:pPr>
              <w:spacing w:after="0"/>
            </w:pPr>
            <w:r>
              <w:rPr>
                <w:sz w:val="20"/>
              </w:rPr>
              <w:t>Expertise</w:t>
            </w:r>
          </w:p>
        </w:tc>
        <w:tc>
          <w:tcPr>
            <w:tcW w:type="dxa" w:w="2160"/>
          </w:tcPr>
          <w:p>
            <w:pPr>
              <w:spacing w:after="0"/>
            </w:pPr>
            <w:r>
              <w:rPr>
                <w:sz w:val="20"/>
              </w:rPr>
              <w:t>8/10</w:t>
            </w:r>
          </w:p>
        </w:tc>
        <w:tc>
          <w:tcPr>
            <w:tcW w:type="dxa" w:w="2160"/>
          </w:tcPr>
          <w:p>
            <w:pPr>
              <w:spacing w:after="0"/>
            </w:pPr>
            <w:r>
              <w:rPr>
                <w:sz w:val="20"/>
              </w:rPr>
              <w:t>7–9</w:t>
            </w:r>
          </w:p>
        </w:tc>
        <w:tc>
          <w:tcPr>
            <w:tcW w:type="dxa" w:w="2160"/>
          </w:tcPr>
          <w:p>
            <w:pPr>
              <w:spacing w:after="0"/>
            </w:pPr>
            <w:r>
              <w:rPr>
                <w:sz w:val="20"/>
              </w:rPr>
              <w:t>MED</w:t>
            </w:r>
          </w:p>
        </w:tc>
      </w:tr>
      <w:tr>
        <w:tc>
          <w:tcPr>
            <w:tcW w:type="dxa" w:w="2160"/>
          </w:tcPr>
          <w:p>
            <w:pPr>
              <w:spacing w:after="0"/>
            </w:pPr>
            <w:r>
              <w:rPr>
                <w:sz w:val="20"/>
              </w:rPr>
              <w:t>Time-to-first</w:t>
            </w:r>
          </w:p>
        </w:tc>
        <w:tc>
          <w:tcPr>
            <w:tcW w:type="dxa" w:w="2160"/>
          </w:tcPr>
          <w:p>
            <w:pPr>
              <w:spacing w:after="0"/>
            </w:pPr>
            <w:r>
              <w:rPr>
                <w:sz w:val="20"/>
              </w:rPr>
              <w:t>~16 weeks</w:t>
            </w:r>
          </w:p>
        </w:tc>
        <w:tc>
          <w:tcPr>
            <w:tcW w:type="dxa" w:w="2160"/>
          </w:tcPr>
          <w:p>
            <w:pPr>
              <w:spacing w:after="0"/>
            </w:pPr>
            <w:r>
              <w:rPr>
                <w:sz w:val="20"/>
              </w:rPr>
              <w:t>8–26 wk</w:t>
            </w:r>
          </w:p>
        </w:tc>
        <w:tc>
          <w:tcPr>
            <w:tcW w:type="dxa" w:w="2160"/>
          </w:tcPr>
          <w:p>
            <w:pPr>
              <w:spacing w:after="0"/>
            </w:pPr>
            <w:r>
              <w:rPr>
                <w:sz w:val="20"/>
              </w:rPr>
              <w:t>LOW</w:t>
            </w:r>
          </w:p>
        </w:tc>
      </w:tr>
      <w:tr>
        <w:tc>
          <w:tcPr>
            <w:tcW w:type="dxa" w:w="2160"/>
          </w:tcPr>
          <w:p>
            <w:pPr>
              <w:spacing w:after="0"/>
            </w:pPr>
            <w:r>
              <w:rPr>
                <w:sz w:val="20"/>
              </w:rPr>
              <w:t>Usable length @ high fidelity (building block)</w:t>
            </w:r>
          </w:p>
        </w:tc>
        <w:tc>
          <w:tcPr>
            <w:tcW w:type="dxa" w:w="2160"/>
          </w:tcPr>
          <w:p>
            <w:pPr>
              <w:spacing w:after="0"/>
            </w:pPr>
            <w:r>
              <w:rPr>
                <w:sz w:val="20"/>
              </w:rPr>
              <w:t>short oligos; gene-length via assembly (OOS)</w:t>
            </w:r>
          </w:p>
        </w:tc>
        <w:tc>
          <w:tcPr>
            <w:tcW w:type="dxa" w:w="2160"/>
          </w:tcPr>
          <w:p>
            <w:pPr>
              <w:spacing w:after="0"/>
            </w:pPr>
            <w:r>
              <w:rPr>
                <w:sz w:val="20"/>
              </w:rPr>
              <w:t>—</w:t>
            </w:r>
          </w:p>
        </w:tc>
        <w:tc>
          <w:tcPr>
            <w:tcW w:type="dxa" w:w="2160"/>
          </w:tcPr>
          <w:p>
            <w:pPr>
              <w:spacing w:after="0"/>
            </w:pPr>
            <w:r>
              <w:rPr>
                <w:sz w:val="20"/>
              </w:rPr>
              <w:t>LOW</w:t>
            </w:r>
          </w:p>
        </w:tc>
      </w:tr>
      <w:tr>
        <w:tc>
          <w:tcPr>
            <w:tcW w:type="dxa" w:w="2160"/>
          </w:tcPr>
          <w:p>
            <w:pPr>
              <w:spacing w:after="0"/>
            </w:pPr>
            <w:r>
              <w:rPr>
                <w:sz w:val="20"/>
              </w:rPr>
              <w:t>Throughput</w:t>
            </w:r>
          </w:p>
        </w:tc>
        <w:tc>
          <w:tcPr>
            <w:tcW w:type="dxa" w:w="2160"/>
          </w:tcPr>
          <w:p>
            <w:pPr>
              <w:spacing w:after="0"/>
            </w:pPr>
            <w:r>
              <w:rPr>
                <w:sz w:val="20"/>
              </w:rPr>
              <w:t>100s–1000s (pooled)</w:t>
            </w:r>
          </w:p>
        </w:tc>
        <w:tc>
          <w:tcPr>
            <w:tcW w:type="dxa" w:w="2160"/>
          </w:tcPr>
          <w:p>
            <w:pPr>
              <w:spacing w:after="0"/>
            </w:pPr>
            <w:r>
              <w:rPr>
                <w:sz w:val="20"/>
              </w:rPr>
              <w:t>—</w:t>
            </w:r>
          </w:p>
        </w:tc>
        <w:tc>
          <w:tcPr>
            <w:tcW w:type="dxa" w:w="2160"/>
          </w:tcPr>
          <w:p>
            <w:pPr>
              <w:spacing w:after="0"/>
            </w:pPr>
            <w:r>
              <w:rPr>
                <w:sz w:val="20"/>
              </w:rPr>
              <w:t>MED</w:t>
            </w:r>
          </w:p>
        </w:tc>
      </w:tr>
      <w:tr>
        <w:tc>
          <w:tcPr>
            <w:tcW w:type="dxa" w:w="2160"/>
          </w:tcPr>
          <w:p>
            <w:pPr>
              <w:spacing w:after="0"/>
            </w:pPr>
            <w:r>
              <w:rPr>
                <w:sz w:val="20"/>
              </w:rPr>
              <w:t>Yield</w:t>
            </w:r>
          </w:p>
        </w:tc>
        <w:tc>
          <w:tcPr>
            <w:tcW w:type="dxa" w:w="2160"/>
          </w:tcPr>
          <w:p>
            <w:pPr>
              <w:spacing w:after="0"/>
            </w:pPr>
            <w:r>
              <w:rPr>
                <w:sz w:val="20"/>
              </w:rPr>
              <w:t>~95%</w:t>
            </w:r>
          </w:p>
        </w:tc>
        <w:tc>
          <w:tcPr>
            <w:tcW w:type="dxa" w:w="2160"/>
          </w:tcPr>
          <w:p>
            <w:pPr>
              <w:spacing w:after="0"/>
            </w:pPr>
            <w:r>
              <w:rPr>
                <w:sz w:val="20"/>
              </w:rPr>
              <w:t>90–98%</w:t>
            </w:r>
          </w:p>
        </w:tc>
        <w:tc>
          <w:tcPr>
            <w:tcW w:type="dxa" w:w="2160"/>
          </w:tcPr>
          <w:p>
            <w:pPr>
              <w:spacing w:after="0"/>
            </w:pPr>
            <w:r>
              <w:rPr>
                <w:sz w:val="20"/>
              </w:rPr>
              <w:t>MED</w:t>
            </w:r>
          </w:p>
        </w:tc>
      </w:tr>
    </w:tbl>
    <w:p/>
    <w:p>
      <w:pPr>
        <w:spacing w:after="120"/>
      </w:pPr>
      <w:r>
        <w:rPr>
          <w:sz w:val="20"/>
        </w:rPr>
        <w:t xml:space="preserve">Uses only a standard molecular-biology kit (thermocycler, magnet, vortex, gel) plus the ~$3,400 barcoded-bead pool (a consumable, ~200 reactions) — the bead-pool prep is the fiddly step; </w:t>
      </w:r>
      <w:r>
        <w:rPr>
          <w:color w:val="C00000"/>
          <w:sz w:val="20"/>
        </w:rPr>
        <w:t>compartmentalization is by vortexing into a water-in-oil emulsion, with no microfluidic chip and no cleanroom.</w:t>
      </w:r>
      <w:r>
        <w:rPr>
          <w:sz w:val="20"/>
        </w:rPr>
        <w:t xml:space="preserve"> Fidelity is error-correction-dependent. A 2025 standard-lab alternative, OMEGA (Romero lab, bioRxiv 2025), does pooled Golden-Gate assembly without beads or emulsion at ~$1.50/gene, up to ~2.6 kb.</w:t>
      </w:r>
    </w:p>
    <w:p>
      <w:pPr>
        <w:pStyle w:val="Heading3"/>
      </w:pPr>
      <w:r>
        <w:rPr>
          <w:color w:val="1F3A5F"/>
          <w:sz w:val="20"/>
        </w:rPr>
        <w:t>2.7 Commercial benchtop (chemical-based, TRL 9)</w:t>
      </w:r>
    </w:p>
    <w:p>
      <w:pPr>
        <w:spacing w:after="120"/>
      </w:pPr>
      <w:r>
        <w:rPr>
          <w:b/>
          <w:sz w:val="20"/>
        </w:rPr>
        <w:t>Technology &amp; status.</w:t>
      </w:r>
      <w:r>
        <w:rPr>
          <w:sz w:val="20"/>
        </w:rPr>
        <w:t xml:space="preserve"> Mature phosphoramidite instruments (e.g. MerMade/LGC, Dr Oligo/Biolytic, Kilobaser), qualified for high-throughput synthesis with &gt;99% per-cycle yield and QC. TRL 9 (mature, production-qualified); major vendors offer screened devices.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b/>
                <w:sz w:val="20"/>
              </w:rPr>
              <w:t>Dimension</w:t>
            </w:r>
          </w:p>
        </w:tc>
        <w:tc>
          <w:tcPr>
            <w:tcW w:type="dxa" w:w="1728"/>
          </w:tcPr>
          <w:p>
            <w:pPr>
              <w:spacing w:after="0"/>
            </w:pPr>
            <w:r>
              <w:rPr>
                <w:b/>
                <w:sz w:val="20"/>
              </w:rPr>
              <w:t>Value</w:t>
            </w:r>
          </w:p>
        </w:tc>
        <w:tc>
          <w:tcPr>
            <w:tcW w:type="dxa" w:w="1728"/>
          </w:tcPr>
          <w:p>
            <w:pPr>
              <w:spacing w:after="0"/>
            </w:pPr>
            <w:r>
              <w:rPr>
                <w:b/>
                <w:sz w:val="20"/>
              </w:rPr>
              <w:t>Range</w:t>
            </w:r>
          </w:p>
        </w:tc>
        <w:tc>
          <w:tcPr>
            <w:tcW w:type="dxa" w:w="1728"/>
          </w:tcPr>
          <w:p>
            <w:pPr>
              <w:spacing w:after="0"/>
            </w:pPr>
            <w:r>
              <w:rPr>
                <w:b/>
                <w:sz w:val="20"/>
              </w:rPr>
              <w:t>Confidence</w:t>
            </w:r>
          </w:p>
        </w:tc>
        <w:tc>
          <w:tcPr>
            <w:tcW w:type="dxa" w:w="1728"/>
          </w:tcPr>
          <w:p>
            <w:pPr>
              <w:spacing w:after="0"/>
            </w:pPr>
            <w:r>
              <w:rPr>
                <w:b/>
                <w:sz w:val="20"/>
              </w:rPr>
              <w:t>Source</w:t>
            </w:r>
          </w:p>
        </w:tc>
      </w:tr>
      <w:tr>
        <w:tc>
          <w:tcPr>
            <w:tcW w:type="dxa" w:w="1728"/>
          </w:tcPr>
          <w:p>
            <w:pPr>
              <w:spacing w:after="0"/>
            </w:pPr>
            <w:r>
              <w:rPr>
                <w:sz w:val="20"/>
              </w:rPr>
              <w:t>Capital</w:t>
            </w:r>
          </w:p>
        </w:tc>
        <w:tc>
          <w:tcPr>
            <w:tcW w:type="dxa" w:w="1728"/>
          </w:tcPr>
          <w:p>
            <w:pPr>
              <w:spacing w:after="0"/>
            </w:pPr>
            <w:r>
              <w:rPr>
                <w:sz w:val="20"/>
              </w:rPr>
              <w:t>~$60,000</w:t>
            </w:r>
          </w:p>
        </w:tc>
        <w:tc>
          <w:tcPr>
            <w:tcW w:type="dxa" w:w="1728"/>
          </w:tcPr>
          <w:p>
            <w:pPr>
              <w:spacing w:after="0"/>
            </w:pPr>
            <w:r>
              <w:rPr>
                <w:sz w:val="20"/>
              </w:rPr>
              <w:t>$15–150K</w:t>
            </w:r>
          </w:p>
        </w:tc>
        <w:tc>
          <w:tcPr>
            <w:tcW w:type="dxa" w:w="1728"/>
          </w:tcPr>
          <w:p>
            <w:pPr>
              <w:spacing w:after="0"/>
            </w:pPr>
            <w:r>
              <w:rPr>
                <w:sz w:val="20"/>
              </w:rPr>
              <w:t>MED</w:t>
            </w:r>
          </w:p>
        </w:tc>
        <w:tc>
          <w:tcPr>
            <w:tcW w:type="dxa" w:w="1728"/>
          </w:tcPr>
          <w:p>
            <w:pPr>
              <w:spacing w:after="0"/>
            </w:pPr>
            <w:r>
              <w:rPr>
                <w:sz w:val="20"/>
              </w:rPr>
              <w:t>Kilobaser ~$35,500 (Basic; ~$49,500 Extended); MerMade/Dr Oligo quote-only; tier to ~$120K+</w:t>
            </w:r>
          </w:p>
        </w:tc>
      </w:tr>
      <w:tr>
        <w:tc>
          <w:tcPr>
            <w:tcW w:type="dxa" w:w="1728"/>
          </w:tcPr>
          <w:p>
            <w:pPr>
              <w:spacing w:after="0"/>
            </w:pPr>
            <w:r>
              <w:rPr>
                <w:sz w:val="20"/>
              </w:rPr>
              <w:t>Cost per usable base</w:t>
            </w:r>
          </w:p>
        </w:tc>
        <w:tc>
          <w:tcPr>
            <w:tcW w:type="dxa" w:w="1728"/>
          </w:tcPr>
          <w:p>
            <w:pPr>
              <w:spacing w:after="0"/>
            </w:pPr>
            <w:r>
              <w:rPr>
                <w:sz w:val="20"/>
              </w:rPr>
              <w:t>~$0.30/bp (market est.)</w:t>
            </w:r>
          </w:p>
        </w:tc>
        <w:tc>
          <w:tcPr>
            <w:tcW w:type="dxa" w:w="1728"/>
          </w:tcPr>
          <w:p>
            <w:pPr>
              <w:spacing w:after="0"/>
            </w:pPr>
            <w:r>
              <w:rPr>
                <w:sz w:val="20"/>
              </w:rPr>
              <w:t>$0.05–1</w:t>
            </w:r>
          </w:p>
        </w:tc>
        <w:tc>
          <w:tcPr>
            <w:tcW w:type="dxa" w:w="1728"/>
          </w:tcPr>
          <w:p>
            <w:pPr>
              <w:spacing w:after="0"/>
            </w:pPr>
            <w:r>
              <w:rPr>
                <w:sz w:val="20"/>
              </w:rPr>
              <w:t>MARKET</w:t>
            </w:r>
          </w:p>
        </w:tc>
        <w:tc>
          <w:tcPr>
            <w:tcW w:type="dxa" w:w="1728"/>
          </w:tcPr>
          <w:p>
            <w:pPr>
              <w:spacing w:after="0"/>
            </w:pPr>
            <w:r>
              <w:rPr>
                <w:sz w:val="20"/>
              </w:rPr>
              <w:t>cf. mail-order provider $0.07–0.10/bp</w:t>
            </w:r>
          </w:p>
        </w:tc>
      </w:tr>
      <w:tr>
        <w:tc>
          <w:tcPr>
            <w:tcW w:type="dxa" w:w="1728"/>
          </w:tcPr>
          <w:p>
            <w:pPr>
              <w:spacing w:after="0"/>
            </w:pPr>
            <w:r>
              <w:rPr>
                <w:sz w:val="20"/>
              </w:rPr>
              <w:t>Expertise</w:t>
            </w:r>
          </w:p>
        </w:tc>
        <w:tc>
          <w:tcPr>
            <w:tcW w:type="dxa" w:w="1728"/>
          </w:tcPr>
          <w:p>
            <w:pPr>
              <w:spacing w:after="0"/>
            </w:pPr>
            <w:r>
              <w:rPr>
                <w:sz w:val="20"/>
              </w:rPr>
              <w:t>2/10</w:t>
            </w:r>
          </w:p>
        </w:tc>
        <w:tc>
          <w:tcPr>
            <w:tcW w:type="dxa" w:w="1728"/>
          </w:tcPr>
          <w:p>
            <w:pPr>
              <w:spacing w:after="0"/>
            </w:pPr>
            <w:r>
              <w:rPr>
                <w:sz w:val="20"/>
              </w:rPr>
              <w:t>1–4</w:t>
            </w:r>
          </w:p>
        </w:tc>
        <w:tc>
          <w:tcPr>
            <w:tcW w:type="dxa" w:w="1728"/>
          </w:tcPr>
          <w:p>
            <w:pPr>
              <w:spacing w:after="0"/>
            </w:pPr>
            <w:r>
              <w:rPr>
                <w:sz w:val="20"/>
              </w:rPr>
              <w:t>HIGH</w:t>
            </w:r>
          </w:p>
        </w:tc>
        <w:tc>
          <w:tcPr>
            <w:tcW w:type="dxa" w:w="1728"/>
          </w:tcPr>
          <w:p>
            <w:pPr>
              <w:spacing w:after="0"/>
            </w:pPr>
            <w:r>
              <w:rPr>
                <w:sz w:val="20"/>
              </w:rPr>
              <w:t>highly automated</w:t>
            </w:r>
          </w:p>
        </w:tc>
      </w:tr>
      <w:tr>
        <w:tc>
          <w:tcPr>
            <w:tcW w:type="dxa" w:w="1728"/>
          </w:tcPr>
          <w:p>
            <w:pPr>
              <w:spacing w:after="0"/>
            </w:pPr>
            <w:r>
              <w:rPr>
                <w:sz w:val="20"/>
              </w:rPr>
              <w:t>Time-to-first</w:t>
            </w:r>
          </w:p>
        </w:tc>
        <w:tc>
          <w:tcPr>
            <w:tcW w:type="dxa" w:w="1728"/>
          </w:tcPr>
          <w:p>
            <w:pPr>
              <w:spacing w:after="0"/>
            </w:pPr>
            <w:r>
              <w:rPr>
                <w:sz w:val="20"/>
              </w:rPr>
              <w:t>1–2 days</w:t>
            </w:r>
          </w:p>
        </w:tc>
        <w:tc>
          <w:tcPr>
            <w:tcW w:type="dxa" w:w="1728"/>
          </w:tcPr>
          <w:p>
            <w:pPr>
              <w:spacing w:after="0"/>
            </w:pPr>
            <w:r>
              <w:rPr>
                <w:sz w:val="20"/>
              </w:rPr>
              <w:t>0.5–3 d</w:t>
            </w:r>
          </w:p>
        </w:tc>
        <w:tc>
          <w:tcPr>
            <w:tcW w:type="dxa" w:w="1728"/>
          </w:tcPr>
          <w:p>
            <w:pPr>
              <w:spacing w:after="0"/>
            </w:pPr>
            <w:r>
              <w:rPr>
                <w:sz w:val="20"/>
              </w:rPr>
              <w:t>HIGH</w:t>
            </w:r>
          </w:p>
        </w:tc>
        <w:tc>
          <w:tcPr>
            <w:tcW w:type="dxa" w:w="1728"/>
          </w:tcPr>
          <w:p>
            <w:pPr>
              <w:spacing w:after="0"/>
            </w:pPr>
            <w:r>
              <w:rPr>
                <w:sz w:val="20"/>
              </w:rPr>
              <w:t>overnight cycle</w:t>
            </w:r>
          </w:p>
        </w:tc>
      </w:tr>
      <w:tr>
        <w:tc>
          <w:tcPr>
            <w:tcW w:type="dxa" w:w="1728"/>
          </w:tcPr>
          <w:p>
            <w:pPr>
              <w:spacing w:after="0"/>
            </w:pPr>
            <w:r>
              <w:rPr>
                <w:sz w:val="20"/>
              </w:rPr>
              <w:t>Usable length @ high fidelity</w:t>
            </w:r>
          </w:p>
        </w:tc>
        <w:tc>
          <w:tcPr>
            <w:tcW w:type="dxa" w:w="1728"/>
          </w:tcPr>
          <w:p>
            <w:pPr>
              <w:spacing w:after="0"/>
            </w:pPr>
            <w:r>
              <w:rPr>
                <w:sz w:val="20"/>
              </w:rPr>
              <w:t>~100–150 nt</w:t>
            </w:r>
          </w:p>
        </w:tc>
        <w:tc>
          <w:tcPr>
            <w:tcW w:type="dxa" w:w="1728"/>
          </w:tcPr>
          <w:p>
            <w:pPr>
              <w:spacing w:after="0"/>
            </w:pPr>
            <w:r>
              <w:rPr>
                <w:sz w:val="20"/>
              </w:rPr>
              <w:t>50 nt–~1 kb spec</w:t>
            </w:r>
          </w:p>
        </w:tc>
        <w:tc>
          <w:tcPr>
            <w:tcW w:type="dxa" w:w="1728"/>
          </w:tcPr>
          <w:p>
            <w:pPr>
              <w:spacing w:after="0"/>
            </w:pPr>
            <w:r>
              <w:rPr>
                <w:sz w:val="20"/>
              </w:rPr>
              <w:t>HIGH</w:t>
            </w:r>
          </w:p>
        </w:tc>
        <w:tc>
          <w:tcPr>
            <w:tcW w:type="dxa" w:w="1728"/>
          </w:tcPr>
          <w:p>
            <w:pPr>
              <w:spacing w:after="0"/>
            </w:pPr>
            <w:r>
              <w:rPr>
                <w:sz w:val="20"/>
              </w:rPr>
              <w:t>model-dependent</w:t>
            </w:r>
          </w:p>
        </w:tc>
      </w:tr>
      <w:tr>
        <w:tc>
          <w:tcPr>
            <w:tcW w:type="dxa" w:w="1728"/>
          </w:tcPr>
          <w:p>
            <w:pPr>
              <w:spacing w:after="0"/>
            </w:pPr>
            <w:r>
              <w:rPr>
                <w:sz w:val="20"/>
              </w:rPr>
              <w:t>Throughput</w:t>
            </w:r>
          </w:p>
        </w:tc>
        <w:tc>
          <w:tcPr>
            <w:tcW w:type="dxa" w:w="1728"/>
          </w:tcPr>
          <w:p>
            <w:pPr>
              <w:spacing w:after="0"/>
            </w:pPr>
            <w:r>
              <w:rPr>
                <w:sz w:val="20"/>
              </w:rPr>
              <w:t>model-dependent (1–48 columns typ.)</w:t>
            </w:r>
          </w:p>
        </w:tc>
        <w:tc>
          <w:tcPr>
            <w:tcW w:type="dxa" w:w="1728"/>
          </w:tcPr>
          <w:p>
            <w:pPr>
              <w:spacing w:after="0"/>
            </w:pPr>
            <w:r>
              <w:rPr>
                <w:sz w:val="20"/>
              </w:rPr>
              <w:t>—</w:t>
            </w:r>
          </w:p>
        </w:tc>
        <w:tc>
          <w:tcPr>
            <w:tcW w:type="dxa" w:w="1728"/>
          </w:tcPr>
          <w:p>
            <w:pPr>
              <w:spacing w:after="0"/>
            </w:pPr>
            <w:r>
              <w:rPr>
                <w:sz w:val="20"/>
              </w:rPr>
              <w:t>MED</w:t>
            </w:r>
          </w:p>
        </w:tc>
        <w:tc>
          <w:tcPr>
            <w:tcW w:type="dxa" w:w="1728"/>
          </w:tcPr>
          <w:p>
            <w:pPr>
              <w:spacing w:after="0"/>
            </w:pPr>
          </w:p>
        </w:tc>
      </w:tr>
      <w:tr>
        <w:tc>
          <w:tcPr>
            <w:tcW w:type="dxa" w:w="1728"/>
          </w:tcPr>
          <w:p>
            <w:pPr>
              <w:spacing w:after="0"/>
            </w:pPr>
            <w:r>
              <w:rPr>
                <w:sz w:val="20"/>
              </w:rPr>
              <w:t>Yield (per-cycle)</w:t>
            </w:r>
          </w:p>
        </w:tc>
        <w:tc>
          <w:tcPr>
            <w:tcW w:type="dxa" w:w="1728"/>
          </w:tcPr>
          <w:p>
            <w:pPr>
              <w:spacing w:after="0"/>
            </w:pPr>
            <w:r>
              <w:rPr>
                <w:sz w:val="20"/>
              </w:rPr>
              <w:t>~99%</w:t>
            </w:r>
          </w:p>
        </w:tc>
        <w:tc>
          <w:tcPr>
            <w:tcW w:type="dxa" w:w="1728"/>
          </w:tcPr>
          <w:p>
            <w:pPr>
              <w:spacing w:after="0"/>
            </w:pPr>
            <w:r>
              <w:rPr>
                <w:sz w:val="20"/>
              </w:rPr>
              <w:t>98–99.5%</w:t>
            </w:r>
          </w:p>
        </w:tc>
        <w:tc>
          <w:tcPr>
            <w:tcW w:type="dxa" w:w="1728"/>
          </w:tcPr>
          <w:p>
            <w:pPr>
              <w:spacing w:after="0"/>
            </w:pPr>
            <w:r>
              <w:rPr>
                <w:sz w:val="20"/>
              </w:rPr>
              <w:t>HIGH</w:t>
            </w:r>
          </w:p>
        </w:tc>
        <w:tc>
          <w:tcPr>
            <w:tcW w:type="dxa" w:w="1728"/>
          </w:tcPr>
          <w:p>
            <w:pPr>
              <w:spacing w:after="0"/>
            </w:pPr>
            <w:r>
              <w:rPr>
                <w:sz w:val="20"/>
              </w:rPr>
              <w:t>QC-maintained</w:t>
            </w:r>
          </w:p>
        </w:tc>
      </w:tr>
    </w:tbl>
    <w:p/>
    <w:p>
      <w:pPr>
        <w:spacing w:after="120"/>
      </w:pPr>
      <w:r>
        <w:rPr>
          <w:sz w:val="20"/>
        </w:rPr>
        <w:t>IFP (2024) separately modeled a predicted cost distribution for a hypothetical 5-kbp benchtop synthesizer in 2030, peaking near ~$190,000 (25th–75th-percentile ~$112,000–$298,000). (A 2030 forecast for a future device, not a shipping-instrument price.)</w:t>
      </w:r>
    </w:p>
    <w:p>
      <w:pPr>
        <w:spacing w:after="120"/>
      </w:pPr>
      <w:r>
        <w:rPr>
          <w:sz w:val="20"/>
        </w:rPr>
        <w:t>*Figure 1.2 — Instrument capital cost only. Figure 1.3 — Expertise barrier to DIY use (scores defined by the §</w:t>
      </w:r>
      <w:r>
        <w:rPr>
          <w:color w:val="C00000"/>
          <w:sz w:val="20"/>
        </w:rPr>
        <w:t>2.8</w:t>
      </w:r>
      <w:r>
        <w:rPr>
          <w:sz w:val="20"/>
        </w:rPr>
        <w:t xml:space="preserve"> rubric).*</w:t>
      </w:r>
    </w:p>
    <w:p>
      <w:pPr>
        <w:pStyle w:val="Heading3"/>
      </w:pPr>
      <w:r>
        <w:rPr>
          <w:color w:val="1F3A5F"/>
          <w:sz w:val="20"/>
        </w:rPr>
        <w:t>2.8</w:t>
      </w:r>
      <w:r>
        <w:rPr>
          <w:color w:val="1F3A5F"/>
          <w:sz w:val="20"/>
        </w:rPr>
        <w:t xml:space="preserve"> How the expertise scores were assigned (rubric)</w:t>
      </w:r>
    </w:p>
    <w:p>
      <w:pPr>
        <w:spacing w:after="120"/>
      </w:pPr>
      <w:r>
        <w:rPr>
          <w:sz w:val="20"/>
        </w:rPr>
        <w:t>The 1–10 "expertise required" score is a judgement, not a measured quantity. Each method is scored against a defined scale and four sub-dimensions: (i) molecular-biology/wet-lab skill; (ii) hardware/engineering/fabrication; (iii) bioinformatics/computational; (iv) turnkey vs troubleshooting. Bands: 1–2 push-button; 3–4 basic lab competence; 5–6 moderate (mol-bio skill + setup/calibration); 7–8 high (two+ specialist domains, device build); 9–10 frontier (research-grade custom fabrication).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b/>
                <w:sz w:val="20"/>
              </w:rPr>
              <w:t>Method</w:t>
            </w:r>
          </w:p>
        </w:tc>
        <w:tc>
          <w:tcPr>
            <w:tcW w:type="dxa" w:w="1234"/>
          </w:tcPr>
          <w:p>
            <w:pPr>
              <w:spacing w:after="0"/>
            </w:pPr>
            <w:r>
              <w:rPr>
                <w:b/>
                <w:sz w:val="20"/>
              </w:rPr>
              <w:t>Wet-lab</w:t>
            </w:r>
          </w:p>
        </w:tc>
        <w:tc>
          <w:tcPr>
            <w:tcW w:type="dxa" w:w="1234"/>
          </w:tcPr>
          <w:p>
            <w:pPr>
              <w:spacing w:after="0"/>
            </w:pPr>
            <w:r>
              <w:rPr>
                <w:b/>
                <w:sz w:val="20"/>
              </w:rPr>
              <w:t>Hardware/fab</w:t>
            </w:r>
          </w:p>
        </w:tc>
        <w:tc>
          <w:tcPr>
            <w:tcW w:type="dxa" w:w="1234"/>
          </w:tcPr>
          <w:p>
            <w:pPr>
              <w:spacing w:after="0"/>
            </w:pPr>
            <w:r>
              <w:rPr>
                <w:b/>
                <w:sz w:val="20"/>
              </w:rPr>
              <w:t>Bioinformatics</w:t>
            </w:r>
          </w:p>
        </w:tc>
        <w:tc>
          <w:tcPr>
            <w:tcW w:type="dxa" w:w="1234"/>
          </w:tcPr>
          <w:p>
            <w:pPr>
              <w:spacing w:after="0"/>
            </w:pPr>
            <w:r>
              <w:rPr>
                <w:b/>
                <w:sz w:val="20"/>
              </w:rPr>
              <w:t>Turnkey?</w:t>
            </w:r>
          </w:p>
        </w:tc>
        <w:tc>
          <w:tcPr>
            <w:tcW w:type="dxa" w:w="1234"/>
          </w:tcPr>
          <w:p>
            <w:pPr>
              <w:spacing w:after="0"/>
            </w:pPr>
            <w:r>
              <w:rPr>
                <w:b/>
                <w:sz w:val="20"/>
              </w:rPr>
              <w:t>Score</w:t>
            </w:r>
          </w:p>
        </w:tc>
        <w:tc>
          <w:tcPr>
            <w:tcW w:type="dxa" w:w="1234"/>
          </w:tcPr>
          <w:p>
            <w:pPr>
              <w:spacing w:after="0"/>
            </w:pPr>
            <w:r>
              <w:rPr>
                <w:b/>
                <w:sz w:val="20"/>
              </w:rPr>
              <w:t>Why</w:t>
            </w:r>
          </w:p>
        </w:tc>
      </w:tr>
      <w:tr>
        <w:tc>
          <w:tcPr>
            <w:tcW w:type="dxa" w:w="1234"/>
          </w:tcPr>
          <w:p>
            <w:pPr>
              <w:spacing w:after="0"/>
            </w:pPr>
            <w:r>
              <w:rPr>
                <w:sz w:val="20"/>
              </w:rPr>
              <w:t>Mail-order provider</w:t>
            </w:r>
          </w:p>
        </w:tc>
        <w:tc>
          <w:tcPr>
            <w:tcW w:type="dxa" w:w="1234"/>
          </w:tcPr>
          <w:p>
            <w:pPr>
              <w:spacing w:after="0"/>
            </w:pPr>
            <w:r>
              <w:rPr>
                <w:sz w:val="20"/>
              </w:rPr>
              <w:t>none</w:t>
            </w:r>
          </w:p>
        </w:tc>
        <w:tc>
          <w:tcPr>
            <w:tcW w:type="dxa" w:w="1234"/>
          </w:tcPr>
          <w:p>
            <w:pPr>
              <w:spacing w:after="0"/>
            </w:pPr>
            <w:r>
              <w:rPr>
                <w:sz w:val="20"/>
              </w:rPr>
              <w:t>none</w:t>
            </w:r>
          </w:p>
        </w:tc>
        <w:tc>
          <w:tcPr>
            <w:tcW w:type="dxa" w:w="1234"/>
          </w:tcPr>
          <w:p>
            <w:pPr>
              <w:spacing w:after="0"/>
            </w:pPr>
            <w:r>
              <w:rPr>
                <w:sz w:val="20"/>
              </w:rPr>
              <w:t>minimal</w:t>
            </w:r>
          </w:p>
        </w:tc>
        <w:tc>
          <w:tcPr>
            <w:tcW w:type="dxa" w:w="1234"/>
          </w:tcPr>
          <w:p>
            <w:pPr>
              <w:spacing w:after="0"/>
            </w:pPr>
            <w:r>
              <w:rPr>
                <w:sz w:val="20"/>
              </w:rPr>
              <w:t>fully</w:t>
            </w:r>
          </w:p>
        </w:tc>
        <w:tc>
          <w:tcPr>
            <w:tcW w:type="dxa" w:w="1234"/>
          </w:tcPr>
          <w:p>
            <w:pPr>
              <w:spacing w:after="0"/>
            </w:pPr>
            <w:r>
              <w:rPr>
                <w:sz w:val="20"/>
              </w:rPr>
              <w:t>1–2</w:t>
            </w:r>
          </w:p>
        </w:tc>
        <w:tc>
          <w:tcPr>
            <w:tcW w:type="dxa" w:w="1234"/>
          </w:tcPr>
          <w:p>
            <w:pPr>
              <w:spacing w:after="0"/>
            </w:pPr>
            <w:r>
              <w:rPr>
                <w:sz w:val="20"/>
              </w:rPr>
              <w:t>Submit sequence online, receive verified DNA. Baseline.</w:t>
            </w:r>
          </w:p>
        </w:tc>
      </w:tr>
      <w:tr>
        <w:tc>
          <w:tcPr>
            <w:tcW w:type="dxa" w:w="1234"/>
          </w:tcPr>
          <w:p>
            <w:pPr>
              <w:spacing w:after="0"/>
            </w:pPr>
            <w:r>
              <w:rPr>
                <w:sz w:val="20"/>
              </w:rPr>
              <w:t>Enzymatic service (Ansa)</w:t>
            </w:r>
          </w:p>
        </w:tc>
        <w:tc>
          <w:tcPr>
            <w:tcW w:type="dxa" w:w="1234"/>
          </w:tcPr>
          <w:p>
            <w:pPr>
              <w:spacing w:after="0"/>
            </w:pPr>
            <w:r>
              <w:rPr>
                <w:sz w:val="20"/>
              </w:rPr>
              <w:t>none</w:t>
            </w:r>
          </w:p>
        </w:tc>
        <w:tc>
          <w:tcPr>
            <w:tcW w:type="dxa" w:w="1234"/>
          </w:tcPr>
          <w:p>
            <w:pPr>
              <w:spacing w:after="0"/>
            </w:pPr>
            <w:r>
              <w:rPr>
                <w:sz w:val="20"/>
              </w:rPr>
              <w:t>none</w:t>
            </w:r>
          </w:p>
        </w:tc>
        <w:tc>
          <w:tcPr>
            <w:tcW w:type="dxa" w:w="1234"/>
          </w:tcPr>
          <w:p>
            <w:pPr>
              <w:spacing w:after="0"/>
            </w:pPr>
            <w:r>
              <w:rPr>
                <w:sz w:val="20"/>
              </w:rPr>
              <w:t>minimal</w:t>
            </w:r>
          </w:p>
        </w:tc>
        <w:tc>
          <w:tcPr>
            <w:tcW w:type="dxa" w:w="1234"/>
          </w:tcPr>
          <w:p>
            <w:pPr>
              <w:spacing w:after="0"/>
            </w:pPr>
            <w:r>
              <w:rPr>
                <w:sz w:val="20"/>
              </w:rPr>
              <w:t>fully</w:t>
            </w:r>
          </w:p>
        </w:tc>
        <w:tc>
          <w:tcPr>
            <w:tcW w:type="dxa" w:w="1234"/>
          </w:tcPr>
          <w:p>
            <w:pPr>
              <w:spacing w:after="0"/>
            </w:pPr>
            <w:r>
              <w:rPr>
                <w:sz w:val="20"/>
              </w:rPr>
              <w:t>2</w:t>
            </w:r>
          </w:p>
        </w:tc>
        <w:tc>
          <w:tcPr>
            <w:tcW w:type="dxa" w:w="1234"/>
          </w:tcPr>
          <w:p>
            <w:pPr>
              <w:spacing w:after="0"/>
            </w:pPr>
            <w:r>
              <w:rPr>
                <w:sz w:val="20"/>
              </w:rPr>
              <w:t>Send sequence, receive clonal DNA; no in-house capability.</w:t>
            </w:r>
          </w:p>
        </w:tc>
      </w:tr>
      <w:tr>
        <w:tc>
          <w:tcPr>
            <w:tcW w:type="dxa" w:w="1234"/>
          </w:tcPr>
          <w:p>
            <w:pPr>
              <w:spacing w:after="0"/>
            </w:pPr>
            <w:r>
              <w:rPr>
                <w:sz w:val="20"/>
              </w:rPr>
              <w:t>Commercial benchtop (column)</w:t>
            </w:r>
          </w:p>
        </w:tc>
        <w:tc>
          <w:tcPr>
            <w:tcW w:type="dxa" w:w="1234"/>
          </w:tcPr>
          <w:p>
            <w:pPr>
              <w:spacing w:after="0"/>
            </w:pPr>
            <w:r>
              <w:rPr>
                <w:sz w:val="20"/>
              </w:rPr>
              <w:t>low</w:t>
            </w:r>
          </w:p>
        </w:tc>
        <w:tc>
          <w:tcPr>
            <w:tcW w:type="dxa" w:w="1234"/>
          </w:tcPr>
          <w:p>
            <w:pPr>
              <w:spacing w:after="0"/>
            </w:pPr>
            <w:r>
              <w:rPr>
                <w:sz w:val="20"/>
              </w:rPr>
              <w:t>low (vendor-maintained)</w:t>
            </w:r>
          </w:p>
        </w:tc>
        <w:tc>
          <w:tcPr>
            <w:tcW w:type="dxa" w:w="1234"/>
          </w:tcPr>
          <w:p>
            <w:pPr>
              <w:spacing w:after="0"/>
            </w:pPr>
            <w:r>
              <w:rPr>
                <w:sz w:val="20"/>
              </w:rPr>
              <w:t>none</w:t>
            </w:r>
          </w:p>
        </w:tc>
        <w:tc>
          <w:tcPr>
            <w:tcW w:type="dxa" w:w="1234"/>
          </w:tcPr>
          <w:p>
            <w:pPr>
              <w:spacing w:after="0"/>
            </w:pPr>
            <w:r>
              <w:rPr>
                <w:sz w:val="20"/>
              </w:rPr>
              <w:t>mostly</w:t>
            </w:r>
          </w:p>
        </w:tc>
        <w:tc>
          <w:tcPr>
            <w:tcW w:type="dxa" w:w="1234"/>
          </w:tcPr>
          <w:p>
            <w:pPr>
              <w:spacing w:after="0"/>
            </w:pPr>
            <w:r>
              <w:rPr>
                <w:sz w:val="20"/>
              </w:rPr>
              <w:t>2</w:t>
            </w:r>
          </w:p>
        </w:tc>
        <w:tc>
          <w:tcPr>
            <w:tcW w:type="dxa" w:w="1234"/>
          </w:tcPr>
          <w:p>
            <w:pPr>
              <w:spacing w:after="0"/>
            </w:pPr>
            <w:r>
              <w:rPr>
                <w:sz w:val="20"/>
              </w:rPr>
              <w:t>Turnkey automated instrument; load reagents, run cycle.</w:t>
            </w:r>
          </w:p>
        </w:tc>
      </w:tr>
      <w:tr>
        <w:tc>
          <w:tcPr>
            <w:tcW w:type="dxa" w:w="1234"/>
          </w:tcPr>
          <w:p>
            <w:pPr>
              <w:spacing w:after="0"/>
            </w:pPr>
            <w:r>
              <w:rPr>
                <w:sz w:val="20"/>
              </w:rPr>
              <w:t>Enzymatic benchtop (SYNTAX)</w:t>
            </w:r>
          </w:p>
        </w:tc>
        <w:tc>
          <w:tcPr>
            <w:tcW w:type="dxa" w:w="1234"/>
          </w:tcPr>
          <w:p>
            <w:pPr>
              <w:spacing w:after="0"/>
            </w:pPr>
            <w:r>
              <w:rPr>
                <w:sz w:val="20"/>
              </w:rPr>
              <w:t>moderate</w:t>
            </w:r>
          </w:p>
        </w:tc>
        <w:tc>
          <w:tcPr>
            <w:tcW w:type="dxa" w:w="1234"/>
          </w:tcPr>
          <w:p>
            <w:pPr>
              <w:spacing w:after="0"/>
            </w:pPr>
            <w:r>
              <w:rPr>
                <w:sz w:val="20"/>
              </w:rPr>
              <w:t>low (vendor-maintained)</w:t>
            </w:r>
          </w:p>
        </w:tc>
        <w:tc>
          <w:tcPr>
            <w:tcW w:type="dxa" w:w="1234"/>
          </w:tcPr>
          <w:p>
            <w:pPr>
              <w:spacing w:after="0"/>
            </w:pPr>
            <w:r>
              <w:rPr>
                <w:sz w:val="20"/>
              </w:rPr>
              <w:t>low–moderate</w:t>
            </w:r>
          </w:p>
        </w:tc>
        <w:tc>
          <w:tcPr>
            <w:tcW w:type="dxa" w:w="1234"/>
          </w:tcPr>
          <w:p>
            <w:pPr>
              <w:spacing w:after="0"/>
            </w:pPr>
            <w:r>
              <w:rPr>
                <w:sz w:val="20"/>
              </w:rPr>
              <w:t>mostly</w:t>
            </w:r>
          </w:p>
        </w:tc>
        <w:tc>
          <w:tcPr>
            <w:tcW w:type="dxa" w:w="1234"/>
          </w:tcPr>
          <w:p>
            <w:pPr>
              <w:spacing w:after="0"/>
            </w:pPr>
            <w:r>
              <w:rPr>
                <w:sz w:val="20"/>
              </w:rPr>
              <w:t>5</w:t>
            </w:r>
          </w:p>
        </w:tc>
        <w:tc>
          <w:tcPr>
            <w:tcW w:type="dxa" w:w="1234"/>
          </w:tcPr>
          <w:p>
            <w:pPr>
              <w:spacing w:after="0"/>
            </w:pPr>
            <w:r>
              <w:rPr>
                <w:sz w:val="20"/>
              </w:rPr>
              <w:t>Push-button but closed proprietary system in a mol-bio workflow.</w:t>
            </w:r>
          </w:p>
        </w:tc>
      </w:tr>
      <w:tr>
        <w:tc>
          <w:tcPr>
            <w:tcW w:type="dxa" w:w="1234"/>
          </w:tcPr>
          <w:p>
            <w:pPr>
              <w:spacing w:after="0"/>
            </w:pPr>
            <w:r>
              <w:rPr>
                <w:sz w:val="20"/>
              </w:rPr>
              <w:t>OpenIDS (inkjet)</w:t>
            </w:r>
          </w:p>
        </w:tc>
        <w:tc>
          <w:tcPr>
            <w:tcW w:type="dxa" w:w="1234"/>
          </w:tcPr>
          <w:p>
            <w:pPr>
              <w:spacing w:after="0"/>
            </w:pPr>
            <w:r>
              <w:rPr>
                <w:sz w:val="20"/>
              </w:rPr>
              <w:t>moderate</w:t>
            </w:r>
          </w:p>
        </w:tc>
        <w:tc>
          <w:tcPr>
            <w:tcW w:type="dxa" w:w="1234"/>
          </w:tcPr>
          <w:p>
            <w:pPr>
              <w:spacing w:after="0"/>
            </w:pPr>
            <w:r>
              <w:rPr>
                <w:sz w:val="20"/>
              </w:rPr>
              <w:t>moderate–high (must build the device)</w:t>
            </w:r>
          </w:p>
        </w:tc>
        <w:tc>
          <w:tcPr>
            <w:tcW w:type="dxa" w:w="1234"/>
          </w:tcPr>
          <w:p>
            <w:pPr>
              <w:spacing w:after="0"/>
            </w:pPr>
            <w:r>
              <w:rPr>
                <w:sz w:val="20"/>
              </w:rPr>
              <w:t>low</w:t>
            </w:r>
          </w:p>
        </w:tc>
        <w:tc>
          <w:tcPr>
            <w:tcW w:type="dxa" w:w="1234"/>
          </w:tcPr>
          <w:p>
            <w:pPr>
              <w:spacing w:after="0"/>
            </w:pPr>
            <w:r>
              <w:rPr>
                <w:sz w:val="20"/>
              </w:rPr>
              <w:t>no</w:t>
            </w:r>
          </w:p>
        </w:tc>
        <w:tc>
          <w:tcPr>
            <w:tcW w:type="dxa" w:w="1234"/>
          </w:tcPr>
          <w:p>
            <w:pPr>
              <w:spacing w:after="0"/>
            </w:pPr>
            <w:r>
              <w:rPr>
                <w:sz w:val="20"/>
              </w:rPr>
              <w:t>6</w:t>
            </w:r>
          </w:p>
        </w:tc>
        <w:tc>
          <w:tcPr>
            <w:tcW w:type="dxa" w:w="1234"/>
          </w:tcPr>
          <w:p>
            <w:pPr>
              <w:spacing w:after="0"/>
            </w:pPr>
            <w:r>
              <w:rPr>
                <w:sz w:val="20"/>
              </w:rPr>
              <w:t>Build from 3D-printed parts + Arduino/Pi + inkjet printhead, then run wet chemistry with calibration.</w:t>
            </w:r>
          </w:p>
        </w:tc>
      </w:tr>
      <w:tr>
        <w:tc>
          <w:tcPr>
            <w:tcW w:type="dxa" w:w="1234"/>
          </w:tcPr>
          <w:p>
            <w:pPr>
              <w:spacing w:after="0"/>
            </w:pPr>
            <w:r>
              <w:rPr>
                <w:sz w:val="20"/>
              </w:rPr>
              <w:t>Electrochemical</w:t>
            </w:r>
          </w:p>
        </w:tc>
        <w:tc>
          <w:tcPr>
            <w:tcW w:type="dxa" w:w="1234"/>
          </w:tcPr>
          <w:p>
            <w:pPr>
              <w:spacing w:after="0"/>
            </w:pPr>
            <w:r>
              <w:rPr>
                <w:sz w:val="20"/>
              </w:rPr>
              <w:t>moderate</w:t>
            </w:r>
          </w:p>
        </w:tc>
        <w:tc>
          <w:tcPr>
            <w:tcW w:type="dxa" w:w="1234"/>
          </w:tcPr>
          <w:p>
            <w:pPr>
              <w:spacing w:after="0"/>
            </w:pPr>
            <w:r>
              <w:rPr>
                <w:sz w:val="20"/>
              </w:rPr>
              <w:t>high (custom build; no product)</w:t>
            </w:r>
          </w:p>
        </w:tc>
        <w:tc>
          <w:tcPr>
            <w:tcW w:type="dxa" w:w="1234"/>
          </w:tcPr>
          <w:p>
            <w:pPr>
              <w:spacing w:after="0"/>
            </w:pPr>
            <w:r>
              <w:rPr>
                <w:sz w:val="20"/>
              </w:rPr>
              <w:t>low</w:t>
            </w:r>
          </w:p>
        </w:tc>
        <w:tc>
          <w:tcPr>
            <w:tcW w:type="dxa" w:w="1234"/>
          </w:tcPr>
          <w:p>
            <w:pPr>
              <w:spacing w:after="0"/>
            </w:pPr>
            <w:r>
              <w:rPr>
                <w:sz w:val="20"/>
              </w:rPr>
              <w:t>no</w:t>
            </w:r>
          </w:p>
        </w:tc>
        <w:tc>
          <w:tcPr>
            <w:tcW w:type="dxa" w:w="1234"/>
          </w:tcPr>
          <w:p>
            <w:pPr>
              <w:spacing w:after="0"/>
            </w:pPr>
            <w:r>
              <w:rPr>
                <w:sz w:val="20"/>
              </w:rPr>
              <w:t>7</w:t>
            </w:r>
          </w:p>
        </w:tc>
        <w:tc>
          <w:tcPr>
            <w:tcW w:type="dxa" w:w="1234"/>
          </w:tcPr>
          <w:p>
            <w:pPr>
              <w:spacing w:after="0"/>
            </w:pPr>
            <w:r>
              <w:rPr>
                <w:sz w:val="20"/>
              </w:rPr>
              <w:t>Pre-commercial: electrochemistry expertise + bespoke build + wet chemistry, no turnkey path.</w:t>
            </w:r>
          </w:p>
        </w:tc>
      </w:tr>
      <w:tr>
        <w:tc>
          <w:tcPr>
            <w:tcW w:type="dxa" w:w="1234"/>
          </w:tcPr>
          <w:p>
            <w:pPr>
              <w:spacing w:after="0"/>
            </w:pPr>
            <w:r>
              <w:rPr>
                <w:sz w:val="20"/>
              </w:rPr>
              <w:t>DropSynth</w:t>
            </w:r>
          </w:p>
        </w:tc>
        <w:tc>
          <w:tcPr>
            <w:tcW w:type="dxa" w:w="1234"/>
          </w:tcPr>
          <w:p>
            <w:pPr>
              <w:spacing w:after="0"/>
            </w:pPr>
            <w:r>
              <w:rPr>
                <w:sz w:val="20"/>
              </w:rPr>
              <w:t>moderate</w:t>
            </w:r>
          </w:p>
        </w:tc>
        <w:tc>
          <w:tcPr>
            <w:tcW w:type="dxa" w:w="1234"/>
          </w:tcPr>
          <w:p>
            <w:pPr>
              <w:spacing w:after="0"/>
            </w:pPr>
            <w:r>
              <w:rPr>
                <w:color w:val="C00000"/>
                <w:sz w:val="20"/>
              </w:rPr>
              <w:t>low (standard mol-bio kit — thermocycler, magnet, vortex, gel; no microfluidics/fabrication)</w:t>
            </w:r>
          </w:p>
        </w:tc>
        <w:tc>
          <w:tcPr>
            <w:tcW w:type="dxa" w:w="1234"/>
          </w:tcPr>
          <w:p>
            <w:pPr>
              <w:spacing w:after="0"/>
            </w:pPr>
            <w:r>
              <w:rPr>
                <w:sz w:val="20"/>
              </w:rPr>
              <w:t>high (pool design, 12-nt barcoding, assembly &amp; error analysis)</w:t>
            </w:r>
          </w:p>
        </w:tc>
        <w:tc>
          <w:tcPr>
            <w:tcW w:type="dxa" w:w="1234"/>
          </w:tcPr>
          <w:p>
            <w:pPr>
              <w:spacing w:after="0"/>
            </w:pPr>
            <w:r>
              <w:rPr>
                <w:sz w:val="20"/>
              </w:rPr>
              <w:t>no</w:t>
            </w:r>
          </w:p>
        </w:tc>
        <w:tc>
          <w:tcPr>
            <w:tcW w:type="dxa" w:w="1234"/>
          </w:tcPr>
          <w:p>
            <w:pPr>
              <w:spacing w:after="0"/>
            </w:pPr>
            <w:r>
              <w:rPr>
                <w:sz w:val="20"/>
              </w:rPr>
              <w:t>8</w:t>
            </w:r>
          </w:p>
        </w:tc>
        <w:tc>
          <w:tcPr>
            <w:tcW w:type="dxa" w:w="1234"/>
          </w:tcPr>
          <w:p>
            <w:pPr>
              <w:spacing w:after="0"/>
            </w:pPr>
            <w:r>
              <w:rPr>
                <w:color w:val="C00000"/>
                <w:sz w:val="20"/>
              </w:rPr>
              <w:t>Demanding because it stacks heavy bioinformatics (pool design, barcoding, assembly/error-correction) on top of careful bench execution — not because of fabrication.</w:t>
            </w:r>
          </w:p>
        </w:tc>
      </w:tr>
    </w:tbl>
    <w:p/>
    <w:p>
      <w:pPr>
        <w:pStyle w:val="Heading2"/>
      </w:pPr>
      <w:r>
        <w:rPr>
          <w:color w:val="1F3A5F"/>
          <w:sz w:val="20"/>
        </w:rPr>
        <w:t>3. Cost trajectory &amp; learning curve</w:t>
      </w:r>
    </w:p>
    <w:p>
      <w:pPr>
        <w:pStyle w:val="Heading3"/>
      </w:pPr>
      <w:r>
        <w:rPr>
          <w:color w:val="1F3A5F"/>
          <w:sz w:val="20"/>
        </w:rPr>
        <w:t>3.1 Historical DNA synthesis cost decline</w:t>
      </w:r>
    </w:p>
    <w:p>
      <w:pPr>
        <w:spacing w:after="120"/>
      </w:pPr>
      <w:r>
        <w:rPr>
          <w:sz w:val="20"/>
        </w:rPr>
        <w:t>Commercial DNA-synthesis cost per base has fallen to a few cents per base for commodity oligos, tracked by Carlson/Field at synthesis.cc. Use the trajectory for shape, not a point forecast.</w:t>
      </w:r>
    </w:p>
    <w:p>
      <w:pPr>
        <w:pStyle w:val="Heading3"/>
      </w:pPr>
      <w:r>
        <w:rPr>
          <w:color w:val="1F3A5F"/>
          <w:sz w:val="20"/>
        </w:rPr>
        <w:t>3.2 Learning-curve DIY projections (conditional, with bands)</w:t>
      </w:r>
    </w:p>
    <w:p>
      <w:pPr>
        <w:spacing w:after="120"/>
      </w:pPr>
      <w:r>
        <w:rPr>
          <w:sz w:val="20"/>
        </w:rPr>
        <w:t>Cost is modeled as declining with cumulative volume, conditional on continued development and gated by TRL.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Approach</w:t>
            </w:r>
          </w:p>
        </w:tc>
        <w:tc>
          <w:tcPr>
            <w:tcW w:type="dxa" w:w="2160"/>
          </w:tcPr>
          <w:p>
            <w:pPr>
              <w:spacing w:after="0"/>
            </w:pPr>
            <w:r>
              <w:rPr>
                <w:b/>
                <w:sz w:val="20"/>
              </w:rPr>
              <w:t>2026</w:t>
            </w:r>
          </w:p>
        </w:tc>
        <w:tc>
          <w:tcPr>
            <w:tcW w:type="dxa" w:w="2160"/>
          </w:tcPr>
          <w:p>
            <w:pPr>
              <w:spacing w:after="0"/>
            </w:pPr>
            <w:r>
              <w:rPr>
                <w:b/>
                <w:sz w:val="20"/>
              </w:rPr>
              <w:t>2028 (conditional)</w:t>
            </w:r>
          </w:p>
        </w:tc>
        <w:tc>
          <w:tcPr>
            <w:tcW w:type="dxa" w:w="2160"/>
          </w:tcPr>
          <w:p>
            <w:pPr>
              <w:spacing w:after="0"/>
            </w:pPr>
            <w:r>
              <w:rPr>
                <w:b/>
                <w:sz w:val="20"/>
              </w:rPr>
              <w:t>Basis</w:t>
            </w:r>
          </w:p>
        </w:tc>
      </w:tr>
      <w:tr>
        <w:tc>
          <w:tcPr>
            <w:tcW w:type="dxa" w:w="2160"/>
          </w:tcPr>
          <w:p>
            <w:pPr>
              <w:spacing w:after="0"/>
            </w:pPr>
            <w:r>
              <w:rPr>
                <w:sz w:val="20"/>
              </w:rPr>
              <w:t>OpenIDS</w:t>
            </w:r>
          </w:p>
        </w:tc>
        <w:tc>
          <w:tcPr>
            <w:tcW w:type="dxa" w:w="2160"/>
          </w:tcPr>
          <w:p>
            <w:pPr>
              <w:spacing w:after="0"/>
            </w:pPr>
            <w:r>
              <w:rPr>
                <w:sz w:val="20"/>
              </w:rPr>
              <w:t>~$18–22K</w:t>
            </w:r>
          </w:p>
        </w:tc>
        <w:tc>
          <w:tcPr>
            <w:tcW w:type="dxa" w:w="2160"/>
          </w:tcPr>
          <w:p>
            <w:pPr>
              <w:spacing w:after="0"/>
            </w:pPr>
            <w:r>
              <w:rPr>
                <w:sz w:val="20"/>
              </w:rPr>
              <w:t>~$15–18K if OSS development continues</w:t>
            </w:r>
          </w:p>
        </w:tc>
        <w:tc>
          <w:tcPr>
            <w:tcW w:type="dxa" w:w="2160"/>
          </w:tcPr>
          <w:p>
            <w:pPr>
              <w:spacing w:after="0"/>
            </w:pPr>
            <w:r>
              <w:rPr>
                <w:sz w:val="20"/>
              </w:rPr>
              <w:t>Kim 2024 → OpenIDS2 2025</w:t>
            </w:r>
          </w:p>
        </w:tc>
      </w:tr>
      <w:tr>
        <w:tc>
          <w:tcPr>
            <w:tcW w:type="dxa" w:w="2160"/>
          </w:tcPr>
          <w:p>
            <w:pPr>
              <w:spacing w:after="0"/>
            </w:pPr>
            <w:r>
              <w:rPr>
                <w:sz w:val="20"/>
              </w:rPr>
              <w:t>Electrochemical</w:t>
            </w:r>
          </w:p>
        </w:tc>
        <w:tc>
          <w:tcPr>
            <w:tcW w:type="dxa" w:w="2160"/>
          </w:tcPr>
          <w:p>
            <w:pPr>
              <w:spacing w:after="0"/>
            </w:pPr>
            <w:r>
              <w:rPr>
                <w:sz w:val="20"/>
              </w:rPr>
              <w:t>~$10–15K (est)</w:t>
            </w:r>
          </w:p>
        </w:tc>
        <w:tc>
          <w:tcPr>
            <w:tcW w:type="dxa" w:w="2160"/>
          </w:tcPr>
          <w:p>
            <w:pPr>
              <w:spacing w:after="0"/>
            </w:pPr>
            <w:r>
              <w:rPr>
                <w:sz w:val="20"/>
              </w:rPr>
              <w:t>~$8–10K only if TRL advances 3→5–6</w:t>
            </w:r>
          </w:p>
        </w:tc>
        <w:tc>
          <w:tcPr>
            <w:tcW w:type="dxa" w:w="2160"/>
          </w:tcPr>
          <w:p>
            <w:pPr>
              <w:spacing w:after="0"/>
            </w:pPr>
            <w:r>
              <w:rPr>
                <w:sz w:val="20"/>
              </w:rPr>
              <w:t>no commercial benchmark; TRL 3 caveat</w:t>
            </w:r>
          </w:p>
        </w:tc>
      </w:tr>
      <w:tr>
        <w:tc>
          <w:tcPr>
            <w:tcW w:type="dxa" w:w="2160"/>
          </w:tcPr>
          <w:p>
            <w:pPr>
              <w:spacing w:after="0"/>
            </w:pPr>
            <w:r>
              <w:rPr>
                <w:sz w:val="20"/>
              </w:rPr>
              <w:t>Enzymatic benchtop</w:t>
            </w:r>
          </w:p>
        </w:tc>
        <w:tc>
          <w:tcPr>
            <w:tcW w:type="dxa" w:w="2160"/>
          </w:tcPr>
          <w:p>
            <w:pPr>
              <w:spacing w:after="0"/>
            </w:pPr>
            <w:r>
              <w:rPr>
                <w:sz w:val="20"/>
              </w:rPr>
              <w:t>~$250–292K</w:t>
            </w:r>
          </w:p>
        </w:tc>
        <w:tc>
          <w:tcPr>
            <w:tcW w:type="dxa" w:w="2160"/>
          </w:tcPr>
          <w:p>
            <w:pPr>
              <w:spacing w:after="0"/>
            </w:pPr>
            <w:r>
              <w:rPr>
                <w:sz w:val="20"/>
              </w:rPr>
              <w:t>~$180–250K if enzyme costs fall + scale</w:t>
            </w:r>
          </w:p>
        </w:tc>
        <w:tc>
          <w:tcPr>
            <w:tcW w:type="dxa" w:w="2160"/>
          </w:tcPr>
          <w:p>
            <w:pPr>
              <w:spacing w:after="0"/>
            </w:pPr>
            <w:r>
              <w:rPr>
                <w:sz w:val="20"/>
              </w:rPr>
              <w:t>$292K base (IFP 2024)</w:t>
            </w:r>
          </w:p>
        </w:tc>
      </w:tr>
      <w:tr>
        <w:tc>
          <w:tcPr>
            <w:tcW w:type="dxa" w:w="2160"/>
          </w:tcPr>
          <w:p>
            <w:pPr>
              <w:spacing w:after="0"/>
            </w:pPr>
            <w:r>
              <w:rPr>
                <w:sz w:val="20"/>
              </w:rPr>
              <w:t>Commercial benchtop</w:t>
            </w:r>
          </w:p>
        </w:tc>
        <w:tc>
          <w:tcPr>
            <w:tcW w:type="dxa" w:w="2160"/>
          </w:tcPr>
          <w:p>
            <w:pPr>
              <w:spacing w:after="0"/>
            </w:pPr>
            <w:r>
              <w:rPr>
                <w:sz w:val="20"/>
              </w:rPr>
              <w:t>~$15–150K (best ~$60K)</w:t>
            </w:r>
          </w:p>
        </w:tc>
        <w:tc>
          <w:tcPr>
            <w:tcW w:type="dxa" w:w="2160"/>
          </w:tcPr>
          <w:p>
            <w:pPr>
              <w:spacing w:after="0"/>
            </w:pPr>
            <w:r>
              <w:rPr>
                <w:sz w:val="20"/>
              </w:rPr>
              <w:t>~$15–120K (slow decline)</w:t>
            </w:r>
          </w:p>
        </w:tc>
        <w:tc>
          <w:tcPr>
            <w:tcW w:type="dxa" w:w="2160"/>
          </w:tcPr>
          <w:p>
            <w:pPr>
              <w:spacing w:after="0"/>
            </w:pPr>
            <w:r>
              <w:rPr>
                <w:sz w:val="20"/>
              </w:rPr>
              <w:t>device tier varies</w:t>
            </w:r>
          </w:p>
        </w:tc>
      </w:tr>
    </w:tbl>
    <w:p/>
    <w:p>
      <w:pPr>
        <w:pStyle w:val="Heading3"/>
      </w:pPr>
      <w:r>
        <w:rPr>
          <w:color w:val="1F3A5F"/>
          <w:sz w:val="20"/>
        </w:rPr>
        <w:t>3.3 DNA sequencing as analog (NHGRI)</w:t>
      </w:r>
    </w:p>
    <w:p>
      <w:pPr>
        <w:spacing w:after="120"/>
      </w:pPr>
      <w:r>
        <w:rPr>
          <w:sz w:val="20"/>
        </w:rPr>
        <w:t>NHGRI's cost per genome fell ~5 orders of magnitude over ~20 years — ~$95M (2001) → ~$10M (2007) → ~$0.75M (Oct 2008) → ~$50K (2010) → ~$4K (2015) → a few hundred dollars recently (Wetterstrand, NHGRI). Use for curve shape, not extrapolation.</w:t>
      </w:r>
    </w:p>
    <w:p>
      <w:pPr>
        <w:pStyle w:val="Heading3"/>
      </w:pPr>
      <w:r>
        <w:rPr>
          <w:color w:val="1F3A5F"/>
          <w:sz w:val="20"/>
        </w:rPr>
        <w:t>3.4 Cost per usable base — the like-for-like comparison (sourced methods only)</w:t>
      </w:r>
    </w:p>
    <w:p>
      <w:pPr>
        <w:spacing w:after="120"/>
      </w:pPr>
      <w:r>
        <w:rPr>
          <w:sz w:val="20"/>
        </w:rPr>
        <w:t xml:space="preserve">Capital cost and per-sequence figures cannot be compared directly. The common unit is cost per usable base — full-length, and (for anything assembled) error-corrected and verified: cost per usable base = (consumable cost per usable base) + (capital ÷ cumulative usable bases synthesised). Because the capital term shrinks with volume, the honest output is a curve. Only three methods can be placed on this axis from sourced numbers: mail-order providers ($0.07–0.10/bp; Twist list, magnitude Kosuri &amp; Church 2014), OpenIDS (capital $19,900 and run cost $102.61 from Kim 2024, with a derived 55% full-length fraction), and DNA Script as a capital floor only. </w:t>
      </w:r>
      <w:r>
        <w:rPr>
          <w:color w:val="C00000"/>
          <w:sz w:val="20"/>
        </w:rPr>
        <w:t>(The ~55% derived full-length fraction for the OpenIDS cost model and the ~56% OpenIDS2-measured value in §2.1 refer to different builds; both are approximate.)</w:t>
      </w:r>
    </w:p>
    <w:p>
      <w:pPr>
        <w:spacing w:after="120"/>
      </w:pPr>
      <w:r>
        <w:rPr>
          <w:sz w:val="20"/>
        </w:rPr>
        <w:t>*Figure 1.7 — Cost per usable base vs synthesis volume.* Providers sit flat at $0.07–0.10/bp and deliver assembled, verified DNA; OpenIDS undercuts them only above ~480,000 usable bases (~200 runs), and even then produces raw short oligos, not genes.</w:t>
      </w:r>
    </w:p>
    <w:p>
      <w:pPr>
        <w:spacing w:after="120"/>
      </w:pPr>
      <w:r>
        <w:rPr>
          <w:b/>
          <w:sz w:val="20"/>
        </w:rPr>
        <w:t>Applying it to a viral genome.</w:t>
      </w:r>
      <w:r>
        <w:rPr>
          <w:sz w:val="20"/>
        </w:rPr>
        <w:t xml:space="preserve"> The only fully-sourced figure is the commercial-provider cost (which already includes assembly and screening):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Reference genome</w:t>
            </w:r>
          </w:p>
        </w:tc>
        <w:tc>
          <w:tcPr>
            <w:tcW w:type="dxa" w:w="2160"/>
          </w:tcPr>
          <w:p>
            <w:pPr>
              <w:spacing w:after="0"/>
            </w:pPr>
            <w:r>
              <w:rPr>
                <w:b/>
                <w:sz w:val="20"/>
              </w:rPr>
              <w:t>Length</w:t>
            </w:r>
          </w:p>
        </w:tc>
        <w:tc>
          <w:tcPr>
            <w:tcW w:type="dxa" w:w="2160"/>
          </w:tcPr>
          <w:p>
            <w:pPr>
              <w:spacing w:after="0"/>
            </w:pPr>
            <w:r>
              <w:rPr>
                <w:b/>
                <w:sz w:val="20"/>
              </w:rPr>
              <w:t>Provider cost ($0.07–0.10/bp)</w:t>
            </w:r>
          </w:p>
        </w:tc>
        <w:tc>
          <w:tcPr>
            <w:tcW w:type="dxa" w:w="2160"/>
          </w:tcPr>
          <w:p>
            <w:pPr>
              <w:spacing w:after="0"/>
            </w:pPr>
            <w:r>
              <w:rPr>
                <w:b/>
                <w:sz w:val="20"/>
              </w:rPr>
              <w:t>Note</w:t>
            </w:r>
          </w:p>
        </w:tc>
      </w:tr>
      <w:tr>
        <w:tc>
          <w:tcPr>
            <w:tcW w:type="dxa" w:w="2160"/>
          </w:tcPr>
          <w:p>
            <w:pPr>
              <w:spacing w:after="0"/>
            </w:pPr>
            <w:r>
              <w:rPr>
                <w:sz w:val="20"/>
              </w:rPr>
              <w:t>Single gene</w:t>
            </w:r>
          </w:p>
        </w:tc>
        <w:tc>
          <w:tcPr>
            <w:tcW w:type="dxa" w:w="2160"/>
          </w:tcPr>
          <w:p>
            <w:pPr>
              <w:spacing w:after="0"/>
            </w:pPr>
            <w:r>
              <w:rPr>
                <w:sz w:val="20"/>
              </w:rPr>
              <w:t>1.5 kb</w:t>
            </w:r>
          </w:p>
        </w:tc>
        <w:tc>
          <w:tcPr>
            <w:tcW w:type="dxa" w:w="2160"/>
          </w:tcPr>
          <w:p>
            <w:pPr>
              <w:spacing w:after="0"/>
            </w:pPr>
            <w:r>
              <w:rPr>
                <w:sz w:val="20"/>
              </w:rPr>
              <w:t>$105–150</w:t>
            </w:r>
          </w:p>
        </w:tc>
        <w:tc>
          <w:tcPr>
            <w:tcW w:type="dxa" w:w="2160"/>
          </w:tcPr>
          <w:p>
            <w:pPr>
              <w:spacing w:after="0"/>
            </w:pPr>
            <w:r>
              <w:rPr>
                <w:sz w:val="20"/>
              </w:rPr>
              <w:t>routine clonal order</w:t>
            </w:r>
          </w:p>
        </w:tc>
      </w:tr>
      <w:tr>
        <w:tc>
          <w:tcPr>
            <w:tcW w:type="dxa" w:w="2160"/>
          </w:tcPr>
          <w:p>
            <w:pPr>
              <w:spacing w:after="0"/>
            </w:pPr>
            <w:r>
              <w:rPr>
                <w:sz w:val="20"/>
              </w:rPr>
              <w:t>IFP benchmark / small construct</w:t>
            </w:r>
          </w:p>
        </w:tc>
        <w:tc>
          <w:tcPr>
            <w:tcW w:type="dxa" w:w="2160"/>
          </w:tcPr>
          <w:p>
            <w:pPr>
              <w:spacing w:after="0"/>
            </w:pPr>
            <w:r>
              <w:rPr>
                <w:sz w:val="20"/>
              </w:rPr>
              <w:t>5 kb</w:t>
            </w:r>
          </w:p>
        </w:tc>
        <w:tc>
          <w:tcPr>
            <w:tcW w:type="dxa" w:w="2160"/>
          </w:tcPr>
          <w:p>
            <w:pPr>
              <w:spacing w:after="0"/>
            </w:pPr>
            <w:r>
              <w:rPr>
                <w:sz w:val="20"/>
              </w:rPr>
              <w:t>$350–500</w:t>
            </w:r>
          </w:p>
        </w:tc>
        <w:tc>
          <w:tcPr>
            <w:tcW w:type="dxa" w:w="2160"/>
          </w:tcPr>
          <w:p>
            <w:pPr>
              <w:spacing w:after="0"/>
            </w:pPr>
            <w:r>
              <w:rPr>
                <w:sz w:val="20"/>
              </w:rPr>
              <w:t>within single-clonal range</w:t>
            </w:r>
          </w:p>
        </w:tc>
      </w:tr>
      <w:tr>
        <w:tc>
          <w:tcPr>
            <w:tcW w:type="dxa" w:w="2160"/>
          </w:tcPr>
          <w:p>
            <w:pPr>
              <w:spacing w:after="0"/>
            </w:pPr>
            <w:r>
              <w:rPr>
                <w:sz w:val="20"/>
              </w:rPr>
              <w:t>Picornavirus (poliovirus-scale)</w:t>
            </w:r>
          </w:p>
        </w:tc>
        <w:tc>
          <w:tcPr>
            <w:tcW w:type="dxa" w:w="2160"/>
          </w:tcPr>
          <w:p>
            <w:pPr>
              <w:spacing w:after="0"/>
            </w:pPr>
            <w:r>
              <w:rPr>
                <w:sz w:val="20"/>
              </w:rPr>
              <w:t>7.5 kb</w:t>
            </w:r>
          </w:p>
        </w:tc>
        <w:tc>
          <w:tcPr>
            <w:tcW w:type="dxa" w:w="2160"/>
          </w:tcPr>
          <w:p>
            <w:pPr>
              <w:spacing w:after="0"/>
            </w:pPr>
            <w:r>
              <w:rPr>
                <w:sz w:val="20"/>
              </w:rPr>
              <w:t>$525–750</w:t>
            </w:r>
          </w:p>
        </w:tc>
        <w:tc>
          <w:tcPr>
            <w:tcW w:type="dxa" w:w="2160"/>
          </w:tcPr>
          <w:p>
            <w:pPr>
              <w:spacing w:after="0"/>
            </w:pPr>
            <w:r>
              <w:rPr>
                <w:sz w:val="20"/>
              </w:rPr>
              <w:t>near the synthesis/assembly boundary</w:t>
            </w:r>
          </w:p>
        </w:tc>
      </w:tr>
      <w:tr>
        <w:tc>
          <w:tcPr>
            <w:tcW w:type="dxa" w:w="2160"/>
          </w:tcPr>
          <w:p>
            <w:pPr>
              <w:spacing w:after="0"/>
            </w:pPr>
            <w:r>
              <w:rPr>
                <w:sz w:val="20"/>
              </w:rPr>
              <w:t>Coronavirus (SARS-CoV-2-scale)</w:t>
            </w:r>
          </w:p>
        </w:tc>
        <w:tc>
          <w:tcPr>
            <w:tcW w:type="dxa" w:w="2160"/>
          </w:tcPr>
          <w:p>
            <w:pPr>
              <w:spacing w:after="0"/>
            </w:pPr>
            <w:r>
              <w:rPr>
                <w:sz w:val="20"/>
              </w:rPr>
              <w:t>30 kb</w:t>
            </w:r>
          </w:p>
        </w:tc>
        <w:tc>
          <w:tcPr>
            <w:tcW w:type="dxa" w:w="2160"/>
          </w:tcPr>
          <w:p>
            <w:pPr>
              <w:spacing w:after="0"/>
            </w:pPr>
            <w:r>
              <w:rPr>
                <w:sz w:val="20"/>
              </w:rPr>
              <w:t>$2,100–3,000</w:t>
            </w:r>
          </w:p>
        </w:tc>
        <w:tc>
          <w:tcPr>
            <w:tcW w:type="dxa" w:w="2160"/>
          </w:tcPr>
          <w:p>
            <w:pPr>
              <w:spacing w:after="0"/>
            </w:pPr>
            <w:r>
              <w:rPr>
                <w:sz w:val="20"/>
              </w:rPr>
              <w:t>exceeds single-clonal limits; fragments + host assembly</w:t>
            </w:r>
          </w:p>
        </w:tc>
      </w:tr>
    </w:tbl>
    <w:p/>
    <w:p>
      <w:pPr>
        <w:spacing w:after="120"/>
      </w:pPr>
      <w:r>
        <w:rPr>
          <w:sz w:val="20"/>
        </w:rPr>
        <w:t>A DIY route cannot be quoted as "$/bp × length": the oligos are the cheap part (~$0.044/usable base at volume); cost is dominated by the unpriced assembly, error-correction and host-system pipeline.</w:t>
      </w:r>
    </w:p>
    <w:p>
      <w:pPr>
        <w:pStyle w:val="Heading2"/>
      </w:pPr>
      <w:r>
        <w:rPr>
          <w:color w:val="1F3A5F"/>
          <w:sz w:val="20"/>
        </w:rPr>
        <w:t>4. Regime-conditional oversight-evasion &amp; supply-chain analysis</w:t>
      </w:r>
    </w:p>
    <w:p>
      <w:pPr>
        <w:spacing w:after="120"/>
      </w:pPr>
      <w:r>
        <w:rPr>
          <w:sz w:val="20"/>
        </w:rPr>
        <w:t>Scoring uses qualitative bands. The policy-relevant quantity is the R0→R1 delta.</w:t>
      </w:r>
    </w:p>
    <w:p>
      <w:pPr>
        <w:pStyle w:val="Heading3"/>
      </w:pPr>
      <w:r>
        <w:rPr>
          <w:color w:val="1F3A5F"/>
          <w:sz w:val="20"/>
        </w:rPr>
        <w:t>4.1 Oversight-evasion delta (R0 → R1)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b/>
                <w:sz w:val="20"/>
              </w:rPr>
              <w:t>Approach</w:t>
            </w:r>
          </w:p>
        </w:tc>
        <w:tc>
          <w:tcPr>
            <w:tcW w:type="dxa" w:w="1728"/>
          </w:tcPr>
          <w:p>
            <w:pPr>
              <w:spacing w:after="0"/>
            </w:pPr>
            <w:r>
              <w:rPr>
                <w:b/>
                <w:sz w:val="20"/>
              </w:rPr>
              <w:t>R0 (evasion)</w:t>
            </w:r>
          </w:p>
        </w:tc>
        <w:tc>
          <w:tcPr>
            <w:tcW w:type="dxa" w:w="1728"/>
          </w:tcPr>
          <w:p>
            <w:pPr>
              <w:spacing w:after="0"/>
            </w:pPr>
            <w:r>
              <w:rPr>
                <w:b/>
                <w:sz w:val="20"/>
              </w:rPr>
              <w:t>R1 (evasion)</w:t>
            </w:r>
          </w:p>
        </w:tc>
        <w:tc>
          <w:tcPr>
            <w:tcW w:type="dxa" w:w="1728"/>
          </w:tcPr>
          <w:p>
            <w:pPr>
              <w:spacing w:after="0"/>
            </w:pPr>
            <w:r>
              <w:rPr>
                <w:b/>
                <w:sz w:val="20"/>
              </w:rPr>
              <w:t>Delta</w:t>
            </w:r>
          </w:p>
        </w:tc>
        <w:tc>
          <w:tcPr>
            <w:tcW w:type="dxa" w:w="1728"/>
          </w:tcPr>
          <w:p>
            <w:pPr>
              <w:spacing w:after="0"/>
            </w:pPr>
            <w:r>
              <w:rPr>
                <w:b/>
                <w:sz w:val="20"/>
              </w:rPr>
              <w:t>Mechanism (conditional on R1)</w:t>
            </w:r>
          </w:p>
        </w:tc>
      </w:tr>
      <w:tr>
        <w:tc>
          <w:tcPr>
            <w:tcW w:type="dxa" w:w="1728"/>
          </w:tcPr>
          <w:p>
            <w:pPr>
              <w:spacing w:after="0"/>
            </w:pPr>
            <w:r>
              <w:rPr>
                <w:sz w:val="20"/>
              </w:rPr>
              <w:t>OpenIDS</w:t>
            </w:r>
          </w:p>
        </w:tc>
        <w:tc>
          <w:tcPr>
            <w:tcW w:type="dxa" w:w="1728"/>
          </w:tcPr>
          <w:p>
            <w:pPr>
              <w:spacing w:after="0"/>
            </w:pPr>
            <w:r>
              <w:rPr>
                <w:sz w:val="20"/>
              </w:rPr>
              <w:t>Medium</w:t>
            </w:r>
          </w:p>
        </w:tc>
        <w:tc>
          <w:tcPr>
            <w:tcW w:type="dxa" w:w="1728"/>
          </w:tcPr>
          <w:p>
            <w:pPr>
              <w:spacing w:after="0"/>
            </w:pPr>
            <w:r>
              <w:rPr>
                <w:sz w:val="20"/>
              </w:rPr>
              <w:t>Low</w:t>
            </w:r>
          </w:p>
        </w:tc>
        <w:tc>
          <w:tcPr>
            <w:tcW w:type="dxa" w:w="1728"/>
          </w:tcPr>
          <w:p>
            <w:pPr>
              <w:spacing w:after="0"/>
            </w:pPr>
            <w:r>
              <w:rPr>
                <w:sz w:val="20"/>
              </w:rPr>
              <w:t>Tightens</w:t>
            </w:r>
          </w:p>
        </w:tc>
        <w:tc>
          <w:tcPr>
            <w:tcW w:type="dxa" w:w="1728"/>
          </w:tcPr>
          <w:p>
            <w:pPr>
              <w:spacing w:after="0"/>
            </w:pPr>
            <w:r>
              <w:rPr>
                <w:sz w:val="20"/>
              </w:rPr>
              <w:t>on-device screening reaches synthesis</w:t>
            </w:r>
          </w:p>
        </w:tc>
      </w:tr>
      <w:tr>
        <w:tc>
          <w:tcPr>
            <w:tcW w:type="dxa" w:w="1728"/>
          </w:tcPr>
          <w:p>
            <w:pPr>
              <w:spacing w:after="0"/>
            </w:pPr>
            <w:r>
              <w:rPr>
                <w:sz w:val="20"/>
              </w:rPr>
              <w:t>MAS 2.0</w:t>
            </w:r>
          </w:p>
        </w:tc>
        <w:tc>
          <w:tcPr>
            <w:tcW w:type="dxa" w:w="1728"/>
          </w:tcPr>
          <w:p>
            <w:pPr>
              <w:spacing w:after="0"/>
            </w:pPr>
            <w:r>
              <w:rPr>
                <w:sz w:val="20"/>
              </w:rPr>
              <w:t>Medium</w:t>
            </w:r>
          </w:p>
        </w:tc>
        <w:tc>
          <w:tcPr>
            <w:tcW w:type="dxa" w:w="1728"/>
          </w:tcPr>
          <w:p>
            <w:pPr>
              <w:spacing w:after="0"/>
            </w:pPr>
            <w:r>
              <w:rPr>
                <w:sz w:val="20"/>
              </w:rPr>
              <w:t>Low</w:t>
            </w:r>
          </w:p>
        </w:tc>
        <w:tc>
          <w:tcPr>
            <w:tcW w:type="dxa" w:w="1728"/>
          </w:tcPr>
          <w:p>
            <w:pPr>
              <w:spacing w:after="0"/>
            </w:pPr>
            <w:r>
              <w:rPr>
                <w:sz w:val="20"/>
              </w:rPr>
              <w:t>Tightens</w:t>
            </w:r>
          </w:p>
        </w:tc>
        <w:tc>
          <w:tcPr>
            <w:tcW w:type="dxa" w:w="1728"/>
          </w:tcPr>
          <w:p>
            <w:pPr>
              <w:spacing w:after="0"/>
            </w:pPr>
            <w:r>
              <w:rPr>
                <w:sz w:val="20"/>
              </w:rPr>
              <w:t>on-device screening reaches a visible bench build</w:t>
            </w:r>
          </w:p>
        </w:tc>
      </w:tr>
      <w:tr>
        <w:tc>
          <w:tcPr>
            <w:tcW w:type="dxa" w:w="1728"/>
          </w:tcPr>
          <w:p>
            <w:pPr>
              <w:spacing w:after="0"/>
            </w:pPr>
            <w:r>
              <w:rPr>
                <w:sz w:val="20"/>
              </w:rPr>
              <w:t>Electrochemical</w:t>
            </w:r>
          </w:p>
        </w:tc>
        <w:tc>
          <w:tcPr>
            <w:tcW w:type="dxa" w:w="1728"/>
          </w:tcPr>
          <w:p>
            <w:pPr>
              <w:spacing w:after="0"/>
            </w:pPr>
            <w:r>
              <w:rPr>
                <w:sz w:val="20"/>
              </w:rPr>
              <w:t>High*</w:t>
            </w:r>
          </w:p>
        </w:tc>
        <w:tc>
          <w:tcPr>
            <w:tcW w:type="dxa" w:w="1728"/>
          </w:tcPr>
          <w:p>
            <w:pPr>
              <w:spacing w:after="0"/>
            </w:pPr>
            <w:r>
              <w:rPr>
                <w:sz w:val="20"/>
              </w:rPr>
              <w:t>Medium*</w:t>
            </w:r>
          </w:p>
        </w:tc>
        <w:tc>
          <w:tcPr>
            <w:tcW w:type="dxa" w:w="1728"/>
          </w:tcPr>
          <w:p>
            <w:pPr>
              <w:spacing w:after="0"/>
            </w:pPr>
            <w:r>
              <w:rPr>
                <w:sz w:val="20"/>
              </w:rPr>
              <w:t>Mixed</w:t>
            </w:r>
          </w:p>
        </w:tc>
        <w:tc>
          <w:tcPr>
            <w:tcW w:type="dxa" w:w="1728"/>
          </w:tcPr>
          <w:p>
            <w:pPr>
              <w:spacing w:after="0"/>
            </w:pPr>
            <w:r>
              <w:rPr>
                <w:sz w:val="20"/>
              </w:rPr>
              <w:t>*conditional-future (TRL 3)</w:t>
            </w:r>
          </w:p>
        </w:tc>
      </w:tr>
      <w:tr>
        <w:tc>
          <w:tcPr>
            <w:tcW w:type="dxa" w:w="1728"/>
          </w:tcPr>
          <w:p>
            <w:pPr>
              <w:spacing w:after="0"/>
            </w:pPr>
            <w:r>
              <w:rPr>
                <w:sz w:val="20"/>
              </w:rPr>
              <w:t>Enzymatic (service)</w:t>
            </w:r>
          </w:p>
        </w:tc>
        <w:tc>
          <w:tcPr>
            <w:tcW w:type="dxa" w:w="1728"/>
          </w:tcPr>
          <w:p>
            <w:pPr>
              <w:spacing w:after="0"/>
            </w:pPr>
            <w:r>
              <w:rPr>
                <w:sz w:val="20"/>
              </w:rPr>
              <w:t>Low</w:t>
            </w:r>
          </w:p>
        </w:tc>
        <w:tc>
          <w:tcPr>
            <w:tcW w:type="dxa" w:w="1728"/>
          </w:tcPr>
          <w:p>
            <w:pPr>
              <w:spacing w:after="0"/>
            </w:pPr>
            <w:r>
              <w:rPr>
                <w:sz w:val="20"/>
              </w:rPr>
              <w:t>Very Low</w:t>
            </w:r>
          </w:p>
        </w:tc>
        <w:tc>
          <w:tcPr>
            <w:tcW w:type="dxa" w:w="1728"/>
          </w:tcPr>
          <w:p>
            <w:pPr>
              <w:spacing w:after="0"/>
            </w:pPr>
            <w:r>
              <w:rPr>
                <w:sz w:val="20"/>
              </w:rPr>
              <w:t>Tightens</w:t>
            </w:r>
          </w:p>
        </w:tc>
        <w:tc>
          <w:tcPr>
            <w:tcW w:type="dxa" w:w="1728"/>
          </w:tcPr>
          <w:p>
            <w:pPr>
              <w:spacing w:after="0"/>
            </w:pPr>
            <w:r>
              <w:rPr>
                <w:sz w:val="20"/>
              </w:rPr>
              <w:t>mandatory provider compliance</w:t>
            </w:r>
          </w:p>
        </w:tc>
      </w:tr>
      <w:tr>
        <w:tc>
          <w:tcPr>
            <w:tcW w:type="dxa" w:w="1728"/>
          </w:tcPr>
          <w:p>
            <w:pPr>
              <w:spacing w:after="0"/>
            </w:pPr>
            <w:r>
              <w:rPr>
                <w:sz w:val="20"/>
              </w:rPr>
              <w:t>Enzymatic (benchtop)</w:t>
            </w:r>
          </w:p>
        </w:tc>
        <w:tc>
          <w:tcPr>
            <w:tcW w:type="dxa" w:w="1728"/>
          </w:tcPr>
          <w:p>
            <w:pPr>
              <w:spacing w:after="0"/>
            </w:pPr>
            <w:r>
              <w:rPr>
                <w:sz w:val="20"/>
              </w:rPr>
              <w:t>Medium</w:t>
            </w:r>
          </w:p>
        </w:tc>
        <w:tc>
          <w:tcPr>
            <w:tcW w:type="dxa" w:w="1728"/>
          </w:tcPr>
          <w:p>
            <w:pPr>
              <w:spacing w:after="0"/>
            </w:pPr>
            <w:r>
              <w:rPr>
                <w:sz w:val="20"/>
              </w:rPr>
              <w:t>Low</w:t>
            </w:r>
          </w:p>
        </w:tc>
        <w:tc>
          <w:tcPr>
            <w:tcW w:type="dxa" w:w="1728"/>
          </w:tcPr>
          <w:p>
            <w:pPr>
              <w:spacing w:after="0"/>
            </w:pPr>
            <w:r>
              <w:rPr>
                <w:sz w:val="20"/>
              </w:rPr>
              <w:t>Tightens</w:t>
            </w:r>
          </w:p>
        </w:tc>
        <w:tc>
          <w:tcPr>
            <w:tcW w:type="dxa" w:w="1728"/>
          </w:tcPr>
          <w:p>
            <w:pPr>
              <w:spacing w:after="0"/>
            </w:pPr>
            <w:r>
              <w:rPr>
                <w:sz w:val="20"/>
              </w:rPr>
              <w:t>on-device mandate</w:t>
            </w:r>
          </w:p>
        </w:tc>
      </w:tr>
      <w:tr>
        <w:tc>
          <w:tcPr>
            <w:tcW w:type="dxa" w:w="1728"/>
          </w:tcPr>
          <w:p>
            <w:pPr>
              <w:spacing w:after="0"/>
            </w:pPr>
            <w:r>
              <w:rPr>
                <w:sz w:val="20"/>
              </w:rPr>
              <w:t>DropSynth</w:t>
            </w:r>
          </w:p>
        </w:tc>
        <w:tc>
          <w:tcPr>
            <w:tcW w:type="dxa" w:w="1728"/>
          </w:tcPr>
          <w:p>
            <w:pPr>
              <w:spacing w:after="0"/>
            </w:pPr>
            <w:r>
              <w:rPr>
                <w:sz w:val="20"/>
              </w:rPr>
              <w:t>Medium</w:t>
            </w:r>
          </w:p>
        </w:tc>
        <w:tc>
          <w:tcPr>
            <w:tcW w:type="dxa" w:w="1728"/>
          </w:tcPr>
          <w:p>
            <w:pPr>
              <w:spacing w:after="0"/>
            </w:pPr>
            <w:r>
              <w:rPr>
                <w:sz w:val="20"/>
              </w:rPr>
              <w:t>Low</w:t>
            </w:r>
          </w:p>
        </w:tc>
        <w:tc>
          <w:tcPr>
            <w:tcW w:type="dxa" w:w="1728"/>
          </w:tcPr>
          <w:p>
            <w:pPr>
              <w:spacing w:after="0"/>
            </w:pPr>
            <w:r>
              <w:rPr>
                <w:sz w:val="20"/>
              </w:rPr>
              <w:t>Tightens</w:t>
            </w:r>
          </w:p>
        </w:tc>
        <w:tc>
          <w:tcPr>
            <w:tcW w:type="dxa" w:w="1728"/>
          </w:tcPr>
          <w:p>
            <w:pPr>
              <w:spacing w:after="0"/>
            </w:pPr>
            <w:r>
              <w:rPr>
                <w:sz w:val="20"/>
              </w:rPr>
              <w:t>inherits the perimeter via its commercial oligo-pool input; expertise barrier</w:t>
            </w:r>
          </w:p>
        </w:tc>
      </w:tr>
      <w:tr>
        <w:tc>
          <w:tcPr>
            <w:tcW w:type="dxa" w:w="1728"/>
          </w:tcPr>
          <w:p>
            <w:pPr>
              <w:spacing w:after="0"/>
            </w:pPr>
            <w:r>
              <w:rPr>
                <w:sz w:val="20"/>
              </w:rPr>
              <w:t>Commercial</w:t>
            </w:r>
          </w:p>
        </w:tc>
        <w:tc>
          <w:tcPr>
            <w:tcW w:type="dxa" w:w="1728"/>
          </w:tcPr>
          <w:p>
            <w:pPr>
              <w:spacing w:after="0"/>
            </w:pPr>
            <w:r>
              <w:rPr>
                <w:sz w:val="20"/>
              </w:rPr>
              <w:t>Medium</w:t>
            </w:r>
          </w:p>
        </w:tc>
        <w:tc>
          <w:tcPr>
            <w:tcW w:type="dxa" w:w="1728"/>
          </w:tcPr>
          <w:p>
            <w:pPr>
              <w:spacing w:after="0"/>
            </w:pPr>
            <w:r>
              <w:rPr>
                <w:sz w:val="20"/>
              </w:rPr>
              <w:t>Low</w:t>
            </w:r>
          </w:p>
        </w:tc>
        <w:tc>
          <w:tcPr>
            <w:tcW w:type="dxa" w:w="1728"/>
          </w:tcPr>
          <w:p>
            <w:pPr>
              <w:spacing w:after="0"/>
            </w:pPr>
            <w:r>
              <w:rPr>
                <w:sz w:val="20"/>
              </w:rPr>
              <w:t>Tightens</w:t>
            </w:r>
          </w:p>
        </w:tc>
        <w:tc>
          <w:tcPr>
            <w:tcW w:type="dxa" w:w="1728"/>
          </w:tcPr>
          <w:p>
            <w:pPr>
              <w:spacing w:after="0"/>
            </w:pPr>
            <w:r>
              <w:rPr>
                <w:sz w:val="20"/>
              </w:rPr>
              <w:t>mandatory manufacturer compliance</w:t>
            </w:r>
          </w:p>
        </w:tc>
      </w:tr>
    </w:tbl>
    <w:p/>
    <w:p>
      <w:pPr>
        <w:spacing w:after="120"/>
      </w:pPr>
      <w:r>
        <w:rPr>
          <w:sz w:val="20"/>
        </w:rPr>
        <w:t>*Figure 1.5 — Oversight tightens under R1.*</w:t>
      </w:r>
    </w:p>
    <w:p>
      <w:pPr>
        <w:pStyle w:val="Heading3"/>
      </w:pPr>
      <w:r>
        <w:rPr>
          <w:color w:val="1F3A5F"/>
          <w:sz w:val="20"/>
        </w:rPr>
        <w:t>4.2 Supply-chain vulnerability — the governance conclusion</w:t>
      </w:r>
    </w:p>
    <w:p>
      <w:pPr>
        <w:spacing w:after="120"/>
      </w:pPr>
      <w:r>
        <w:rPr>
          <w:b/>
          <w:sz w:val="20"/>
        </w:rPr>
        <w:t>Finding (HIGH confidence): supply-chain restriction is not a durable control point under either regime.</w:t>
      </w:r>
      <w:r>
        <w:rPr>
          <w:sz w:val="20"/>
        </w:rPr>
        <w:t xml:space="preserve"> The inputs common to these methods are substitutable or commodity, so a restriction on any single input is routed around. This holds for the solvent (an unregulated substitute is demonstrated), core reagents and enzymes/dNTPs (many suppliers), and device components (multiple industrial suppliers). The one partial exception is specialized fabrication — custom CMOS/microelectrode arrays (electrochemical) and the optics/photolabile-amidite chain (MAS 2.0) — which retains a genuine access barrier, but is method-specific.</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Pr>
                <w:b/>
                <w:sz w:val="20"/>
              </w:rPr>
              <w:t>Input category</w:t>
            </w:r>
          </w:p>
        </w:tc>
        <w:tc>
          <w:tcPr>
            <w:tcW w:type="dxa" w:w="4320"/>
          </w:tcPr>
          <w:p>
            <w:pPr>
              <w:spacing w:after="0"/>
            </w:pPr>
            <w:r>
              <w:rPr>
                <w:b/>
                <w:sz w:val="20"/>
              </w:rPr>
              <w:t>Durable as a standalone control?</w:t>
            </w:r>
          </w:p>
        </w:tc>
      </w:tr>
      <w:tr>
        <w:tc>
          <w:tcPr>
            <w:tcW w:type="dxa" w:w="4320"/>
          </w:tcPr>
          <w:p>
            <w:pPr>
              <w:spacing w:after="0"/>
            </w:pPr>
            <w:r>
              <w:rPr>
                <w:sz w:val="20"/>
              </w:rPr>
              <w:t>Solvents (incl. GRAS substitutes)</w:t>
            </w:r>
          </w:p>
        </w:tc>
        <w:tc>
          <w:tcPr>
            <w:tcW w:type="dxa" w:w="4320"/>
          </w:tcPr>
          <w:p>
            <w:pPr>
              <w:spacing w:after="0"/>
            </w:pPr>
            <w:r>
              <w:rPr>
                <w:sz w:val="20"/>
              </w:rPr>
              <w:t>No</w:t>
            </w:r>
          </w:p>
        </w:tc>
      </w:tr>
      <w:tr>
        <w:tc>
          <w:tcPr>
            <w:tcW w:type="dxa" w:w="4320"/>
          </w:tcPr>
          <w:p>
            <w:pPr>
              <w:spacing w:after="0"/>
            </w:pPr>
            <w:r>
              <w:rPr>
                <w:sz w:val="20"/>
              </w:rPr>
              <w:t>Core reagents (phosphoramidites)</w:t>
            </w:r>
          </w:p>
        </w:tc>
        <w:tc>
          <w:tcPr>
            <w:tcW w:type="dxa" w:w="4320"/>
          </w:tcPr>
          <w:p>
            <w:pPr>
              <w:spacing w:after="0"/>
            </w:pPr>
            <w:r>
              <w:rPr>
                <w:sz w:val="20"/>
              </w:rPr>
              <w:t>No</w:t>
            </w:r>
          </w:p>
        </w:tc>
      </w:tr>
      <w:tr>
        <w:tc>
          <w:tcPr>
            <w:tcW w:type="dxa" w:w="4320"/>
          </w:tcPr>
          <w:p>
            <w:pPr>
              <w:spacing w:after="0"/>
            </w:pPr>
            <w:r>
              <w:rPr>
                <w:sz w:val="20"/>
              </w:rPr>
              <w:t>Enzymes / dNTPs</w:t>
            </w:r>
          </w:p>
        </w:tc>
        <w:tc>
          <w:tcPr>
            <w:tcW w:type="dxa" w:w="4320"/>
          </w:tcPr>
          <w:p>
            <w:pPr>
              <w:spacing w:after="0"/>
            </w:pPr>
            <w:r>
              <w:rPr>
                <w:sz w:val="20"/>
              </w:rPr>
              <w:t>No</w:t>
            </w:r>
          </w:p>
        </w:tc>
      </w:tr>
      <w:tr>
        <w:tc>
          <w:tcPr>
            <w:tcW w:type="dxa" w:w="4320"/>
          </w:tcPr>
          <w:p>
            <w:pPr>
              <w:spacing w:after="0"/>
            </w:pPr>
            <w:r>
              <w:rPr>
                <w:sz w:val="20"/>
              </w:rPr>
              <w:t>Device components (printheads, electrodes)</w:t>
            </w:r>
          </w:p>
        </w:tc>
        <w:tc>
          <w:tcPr>
            <w:tcW w:type="dxa" w:w="4320"/>
          </w:tcPr>
          <w:p>
            <w:pPr>
              <w:spacing w:after="0"/>
            </w:pPr>
            <w:r>
              <w:rPr>
                <w:sz w:val="20"/>
              </w:rPr>
              <w:t>No (weak at best)</w:t>
            </w:r>
          </w:p>
        </w:tc>
      </w:tr>
      <w:tr>
        <w:tc>
          <w:tcPr>
            <w:tcW w:type="dxa" w:w="4320"/>
          </w:tcPr>
          <w:p>
            <w:pPr>
              <w:spacing w:after="0"/>
            </w:pPr>
            <w:r>
              <w:rPr>
                <w:sz w:val="20"/>
              </w:rPr>
              <w:t>Specialized fabrication (CMOS electrodes; photolithography optics)</w:t>
            </w:r>
          </w:p>
        </w:tc>
        <w:tc>
          <w:tcPr>
            <w:tcW w:type="dxa" w:w="4320"/>
          </w:tcPr>
          <w:p>
            <w:pPr>
              <w:spacing w:after="0"/>
            </w:pPr>
            <w:r>
              <w:rPr>
                <w:sz w:val="20"/>
              </w:rPr>
              <w:t>Partial (method-specific access barrier)</w:t>
            </w:r>
          </w:p>
        </w:tc>
      </w:tr>
    </w:tbl>
    <w:p/>
    <w:p>
      <w:pPr>
        <w:pStyle w:val="Heading2"/>
      </w:pPr>
      <w:r>
        <w:rPr>
          <w:color w:val="1F3A5F"/>
          <w:sz w:val="20"/>
        </w:rPr>
        <w:t>5. Timelines &amp; inflection points</w:t>
      </w:r>
    </w:p>
    <w:p>
      <w:pPr>
        <w:pStyle w:val="Heading3"/>
      </w:pPr>
      <w:r>
        <w:rPr>
          <w:color w:val="1F3A5F"/>
          <w:sz w:val="20"/>
        </w:rPr>
        <w:t>5.1 Present-day "accessible" status (2026)</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pPr>
            <w:r>
              <w:rPr>
                <w:b/>
                <w:sz w:val="20"/>
              </w:rPr>
              <w:t>Approach</w:t>
            </w:r>
          </w:p>
        </w:tc>
        <w:tc>
          <w:tcPr>
            <w:tcW w:type="dxa" w:w="2880"/>
          </w:tcPr>
          <w:p>
            <w:pPr>
              <w:spacing w:after="0"/>
            </w:pPr>
            <w:r>
              <w:rPr>
                <w:b/>
                <w:sz w:val="20"/>
              </w:rPr>
              <w:t>Status</w:t>
            </w:r>
          </w:p>
        </w:tc>
        <w:tc>
          <w:tcPr>
            <w:tcW w:type="dxa" w:w="2880"/>
          </w:tcPr>
          <w:p>
            <w:pPr>
              <w:spacing w:after="0"/>
            </w:pPr>
            <w:r>
              <w:rPr>
                <w:b/>
                <w:sz w:val="20"/>
              </w:rPr>
              <w:t>Note</w:t>
            </w:r>
          </w:p>
        </w:tc>
      </w:tr>
      <w:tr>
        <w:tc>
          <w:tcPr>
            <w:tcW w:type="dxa" w:w="2880"/>
          </w:tcPr>
          <w:p>
            <w:pPr>
              <w:spacing w:after="0"/>
            </w:pPr>
            <w:r>
              <w:rPr>
                <w:sz w:val="20"/>
              </w:rPr>
              <w:t>OpenIDS</w:t>
            </w:r>
          </w:p>
        </w:tc>
        <w:tc>
          <w:tcPr>
            <w:tcW w:type="dxa" w:w="2880"/>
          </w:tcPr>
          <w:p>
            <w:pPr>
              <w:spacing w:after="0"/>
            </w:pPr>
            <w:r>
              <w:rPr>
                <w:sz w:val="20"/>
              </w:rPr>
              <w:t>Accessible (DIY)</w:t>
            </w:r>
          </w:p>
        </w:tc>
        <w:tc>
          <w:tcPr>
            <w:tcW w:type="dxa" w:w="2880"/>
          </w:tcPr>
          <w:p>
            <w:pPr>
              <w:spacing w:after="0"/>
            </w:pPr>
            <w:r>
              <w:rPr>
                <w:sz w:val="20"/>
              </w:rPr>
              <w:t>TRL 5, demonstrated (short oligos)</w:t>
            </w:r>
          </w:p>
        </w:tc>
      </w:tr>
      <w:tr>
        <w:tc>
          <w:tcPr>
            <w:tcW w:type="dxa" w:w="2880"/>
          </w:tcPr>
          <w:p>
            <w:pPr>
              <w:spacing w:after="0"/>
            </w:pPr>
            <w:r>
              <w:rPr>
                <w:sz w:val="20"/>
              </w:rPr>
              <w:t>MAS 2.0</w:t>
            </w:r>
          </w:p>
        </w:tc>
        <w:tc>
          <w:tcPr>
            <w:tcW w:type="dxa" w:w="2880"/>
          </w:tcPr>
          <w:p>
            <w:pPr>
              <w:spacing w:after="0"/>
            </w:pPr>
            <w:r>
              <w:rPr>
                <w:sz w:val="20"/>
              </w:rPr>
              <w:t>Accessible (DIY, open build)</w:t>
            </w:r>
          </w:p>
        </w:tc>
        <w:tc>
          <w:tcPr>
            <w:tcW w:type="dxa" w:w="2880"/>
          </w:tcPr>
          <w:p>
            <w:pPr>
              <w:spacing w:after="0"/>
            </w:pPr>
            <w:r>
              <w:rPr>
                <w:sz w:val="20"/>
              </w:rPr>
              <w:t>TRL 5, photolithographic</w:t>
            </w:r>
          </w:p>
        </w:tc>
      </w:tr>
      <w:tr>
        <w:tc>
          <w:tcPr>
            <w:tcW w:type="dxa" w:w="2880"/>
          </w:tcPr>
          <w:p>
            <w:pPr>
              <w:spacing w:after="0"/>
            </w:pPr>
            <w:r>
              <w:rPr>
                <w:sz w:val="20"/>
              </w:rPr>
              <w:t>Enzymatic (service)</w:t>
            </w:r>
          </w:p>
        </w:tc>
        <w:tc>
          <w:tcPr>
            <w:tcW w:type="dxa" w:w="2880"/>
          </w:tcPr>
          <w:p>
            <w:pPr>
              <w:spacing w:after="0"/>
            </w:pPr>
            <w:r>
              <w:rPr>
                <w:sz w:val="20"/>
              </w:rPr>
              <w:t>Accessible (service)</w:t>
            </w:r>
          </w:p>
        </w:tc>
        <w:tc>
          <w:tcPr>
            <w:tcW w:type="dxa" w:w="2880"/>
          </w:tcPr>
          <w:p>
            <w:pPr>
              <w:spacing w:after="0"/>
            </w:pPr>
            <w:r>
              <w:rPr>
                <w:sz w:val="20"/>
              </w:rPr>
              <w:t>no capital; ~$300/synthesis</w:t>
            </w:r>
          </w:p>
        </w:tc>
      </w:tr>
      <w:tr>
        <w:tc>
          <w:tcPr>
            <w:tcW w:type="dxa" w:w="2880"/>
          </w:tcPr>
          <w:p>
            <w:pPr>
              <w:spacing w:after="0"/>
            </w:pPr>
            <w:r>
              <w:rPr>
                <w:sz w:val="20"/>
              </w:rPr>
              <w:t>Enzymatic (benchtop)</w:t>
            </w:r>
          </w:p>
        </w:tc>
        <w:tc>
          <w:tcPr>
            <w:tcW w:type="dxa" w:w="2880"/>
          </w:tcPr>
          <w:p>
            <w:pPr>
              <w:spacing w:after="0"/>
            </w:pPr>
            <w:r>
              <w:rPr>
                <w:sz w:val="20"/>
              </w:rPr>
              <w:t>Capital-expensive, not DIY</w:t>
            </w:r>
          </w:p>
        </w:tc>
        <w:tc>
          <w:tcPr>
            <w:tcW w:type="dxa" w:w="2880"/>
          </w:tcPr>
          <w:p>
            <w:pPr>
              <w:spacing w:after="0"/>
            </w:pPr>
            <w:r>
              <w:rPr>
                <w:sz w:val="20"/>
              </w:rPr>
              <w:t>TRL 5; ~$292K</w:t>
            </w:r>
          </w:p>
        </w:tc>
      </w:tr>
      <w:tr>
        <w:tc>
          <w:tcPr>
            <w:tcW w:type="dxa" w:w="2880"/>
          </w:tcPr>
          <w:p>
            <w:pPr>
              <w:spacing w:after="0"/>
            </w:pPr>
            <w:r>
              <w:rPr>
                <w:sz w:val="20"/>
              </w:rPr>
              <w:t>Commercial</w:t>
            </w:r>
          </w:p>
        </w:tc>
        <w:tc>
          <w:tcPr>
            <w:tcW w:type="dxa" w:w="2880"/>
          </w:tcPr>
          <w:p>
            <w:pPr>
              <w:spacing w:after="0"/>
            </w:pPr>
            <w:r>
              <w:rPr>
                <w:sz w:val="20"/>
              </w:rPr>
              <w:t>Mature (baseline)</w:t>
            </w:r>
          </w:p>
        </w:tc>
        <w:tc>
          <w:tcPr>
            <w:tcW w:type="dxa" w:w="2880"/>
          </w:tcPr>
          <w:p>
            <w:pPr>
              <w:spacing w:after="0"/>
            </w:pPr>
            <w:r>
              <w:rPr>
                <w:sz w:val="20"/>
              </w:rPr>
              <w:t>TRL 9; not accessible to all labs, not DIY</w:t>
            </w:r>
          </w:p>
        </w:tc>
      </w:tr>
      <w:tr>
        <w:tc>
          <w:tcPr>
            <w:tcW w:type="dxa" w:w="2880"/>
          </w:tcPr>
          <w:p>
            <w:pPr>
              <w:spacing w:after="0"/>
            </w:pPr>
            <w:r>
              <w:rPr>
                <w:sz w:val="20"/>
              </w:rPr>
              <w:t>Electrochemical</w:t>
            </w:r>
          </w:p>
        </w:tc>
        <w:tc>
          <w:tcPr>
            <w:tcW w:type="dxa" w:w="2880"/>
          </w:tcPr>
          <w:p>
            <w:pPr>
              <w:spacing w:after="0"/>
            </w:pPr>
            <w:r>
              <w:rPr>
                <w:sz w:val="20"/>
              </w:rPr>
              <w:t>Conditional-future</w:t>
            </w:r>
          </w:p>
        </w:tc>
        <w:tc>
          <w:tcPr>
            <w:tcW w:type="dxa" w:w="2880"/>
          </w:tcPr>
          <w:p>
            <w:pPr>
              <w:spacing w:after="0"/>
            </w:pPr>
            <w:r>
              <w:rPr>
                <w:sz w:val="20"/>
              </w:rPr>
              <w:t>TRL 3</w:t>
            </w:r>
          </w:p>
        </w:tc>
      </w:tr>
      <w:tr>
        <w:tc>
          <w:tcPr>
            <w:tcW w:type="dxa" w:w="2880"/>
          </w:tcPr>
          <w:p>
            <w:pPr>
              <w:spacing w:after="0"/>
            </w:pPr>
            <w:r>
              <w:rPr>
                <w:sz w:val="20"/>
              </w:rPr>
              <w:t>DropSynth</w:t>
            </w:r>
          </w:p>
        </w:tc>
        <w:tc>
          <w:tcPr>
            <w:tcW w:type="dxa" w:w="2880"/>
          </w:tcPr>
          <w:p>
            <w:pPr>
              <w:spacing w:after="0"/>
            </w:pPr>
            <w:r>
              <w:rPr>
                <w:sz w:val="20"/>
              </w:rPr>
              <w:t>Assembly (needs commercial oligo pool)</w:t>
            </w:r>
          </w:p>
        </w:tc>
        <w:tc>
          <w:tcPr>
            <w:tcW w:type="dxa" w:w="2880"/>
          </w:tcPr>
          <w:p>
            <w:pPr>
              <w:spacing w:after="0"/>
            </w:pPr>
            <w:r>
              <w:rPr>
                <w:color w:val="C00000"/>
                <w:sz w:val="20"/>
              </w:rPr>
              <w:t>TRL 4; standard mol-bio lab, no fabrication; expertise-gated (bioinformatics/assembly)</w:t>
            </w:r>
          </w:p>
        </w:tc>
      </w:tr>
    </w:tbl>
    <w:p/>
    <w:p>
      <w:pPr>
        <w:pStyle w:val="Heading3"/>
      </w:pPr>
      <w:r>
        <w:rPr>
          <w:color w:val="1F3A5F"/>
          <w:sz w:val="20"/>
        </w:rPr>
        <w:t>5.2 Governance inflection points</w:t>
      </w:r>
    </w:p>
    <w:p>
      <w:pPr>
        <w:spacing w:after="120"/>
      </w:pPr>
      <w:r>
        <w:rPr>
          <w:b/>
          <w:sz w:val="20"/>
        </w:rPr>
        <w:t>OSTP framework 50-nt milestone — October 13, 2026 (documented, but paused).</w:t>
      </w:r>
      <w:r>
        <w:rPr>
          <w:sz w:val="20"/>
        </w:rPr>
        <w:t xml:space="preserve"> IGSC members are required to align by October 24, 2026 (IGSC v3.0). EO 14292 (May 5, 2025) paused implementation, so whether the October 2026 milestone takes effect on schedule depends on the revised framework — unpublished as of July 2026. </w:t>
      </w:r>
      <w:r>
        <w:rPr>
          <w:b/>
          <w:sz w:val="20"/>
        </w:rPr>
        <w:t>Already established:</w:t>
      </w:r>
      <w:r>
        <w:rPr>
          <w:sz w:val="20"/>
        </w:rPr>
        <w:t xml:space="preserve"> the NIST inter-tool benchmark is published (Laird et al., Applied Biosafety, 2025), reporting &gt;95% sensitivity and &gt;97% accuracy. What remains open is functional detection: Wittmann et al. (2025, Science 390:82–87) showed similarity-based screening can be evaded by AI-designed variants, ~3% still escaping after coordinated patching.</w:t>
      </w:r>
    </w:p>
    <w:p>
      <w:pPr>
        <w:pStyle w:val="Heading2"/>
      </w:pPr>
      <w:r>
        <w:rPr>
          <w:color w:val="1F3A5F"/>
          <w:sz w:val="20"/>
        </w:rPr>
        <w:t>6. Confidence, uncertainty &amp; worst-case test</w:t>
      </w:r>
    </w:p>
    <w:p>
      <w:pPr>
        <w:spacing w:after="120"/>
      </w:pPr>
      <w:r>
        <w:rPr>
          <w:sz w:val="20"/>
        </w:rPr>
        <w:t xml:space="preserve">*Figure 1.6 — Confidence in each estimate.* </w:t>
      </w:r>
      <w:r>
        <w:rPr>
          <w:b/>
          <w:sz w:val="20"/>
        </w:rPr>
        <w:t>High confidence:</w:t>
      </w:r>
      <w:r>
        <w:rPr>
          <w:sz w:val="20"/>
        </w:rPr>
        <w:t xml:space="preserve"> OpenIDS (TRL, capital, yield); enzymatic benchtop (TRL, throughput, expertise, turnaround); commercial (TRL, expertise, yield); the non-durability of supply-chain restriction. </w:t>
      </w:r>
      <w:r>
        <w:rPr>
          <w:b/>
          <w:sz w:val="20"/>
        </w:rPr>
        <w:t>Medium:</w:t>
      </w:r>
      <w:r>
        <w:rPr>
          <w:sz w:val="20"/>
        </w:rPr>
        <w:t xml:space="preserve"> enzymatic per-synthesis and capital costs; DropSynth expertise/timeline; R0/R1 evasion scoring. </w:t>
      </w:r>
      <w:r>
        <w:rPr>
          <w:b/>
          <w:sz w:val="20"/>
        </w:rPr>
        <w:t>Low:</w:t>
      </w:r>
      <w:r>
        <w:rPr>
          <w:sz w:val="20"/>
        </w:rPr>
        <w:t xml:space="preserve"> electrochemical (all value dimensions except TRL-3); DropSynth DIY feasibility; all 2028–2030 cost projections.</w:t>
      </w:r>
    </w:p>
    <w:p>
      <w:pPr>
        <w:spacing w:after="120"/>
      </w:pPr>
      <w:r>
        <w:rPr>
          <w:b/>
          <w:sz w:val="20"/>
        </w:rPr>
        <w:t>Worst-case survival test.</w:t>
      </w:r>
      <w:r>
        <w:rPr>
          <w:sz w:val="20"/>
        </w:rPr>
        <w:t xml:space="preserve"> The headline — at least one demonstrated route (OpenIDS, TRL 5) reaches useful capability without a single durable supply-chain chokepoint, so control must move to the device and to attribution — survives its least-favorable bounds: setting electrochemical to $30K/TRL 2, or OpenIDS capital to $25K and per-seq to $10, still leaves an accessible, demonstrated route with no single controllable input.</w:t>
      </w:r>
    </w:p>
    <w:p>
      <w:pPr>
        <w:pStyle w:val="Heading2"/>
      </w:pPr>
      <w:r>
        <w:rPr>
          <w:color w:val="1F3A5F"/>
          <w:sz w:val="20"/>
        </w:rPr>
        <w:t>7. Synthesis &amp; policy implications</w:t>
      </w:r>
    </w:p>
    <w:p>
      <w:pPr>
        <w:spacing w:after="120"/>
      </w:pPr>
      <w:r>
        <w:rPr>
          <w:b/>
          <w:sz w:val="20"/>
        </w:rPr>
        <w:t>7.1 Durable vs illusory control points.</w:t>
      </w:r>
      <w:r>
        <w:rPr>
          <w:sz w:val="20"/>
        </w:rPr>
        <w:t xml:space="preserve"> Durable (conditional on R1): on-device screening; mandatory provider/manufacturer compliance with federal enforcement; functional-SOC detection; international coordination. Illusory: supply-chain restriction on solvents, core reagents, enzymes/dNTPs, and device components.</w:t>
      </w:r>
    </w:p>
    <w:p>
      <w:pPr>
        <w:spacing w:after="120"/>
      </w:pPr>
      <w:r>
        <w:rPr>
          <w:b/>
          <w:sz w:val="20"/>
        </w:rPr>
        <w:t>7.2 The jurisdictional ceiling.</w:t>
      </w:r>
      <w:r>
        <w:rPr>
          <w:sz w:val="20"/>
        </w:rPr>
        <w:t xml:space="preserve"> The companion manufacturer-landscape analysis finds that a US mandate directly binds only 8 of 34 known benchtop manufacturers, with 14 outside US and allied reach and the newest, highest-throughput capacity concentrating outside reach.</w:t>
      </w:r>
    </w:p>
    <w:p>
      <w:pPr>
        <w:spacing w:after="120"/>
      </w:pPr>
      <w:r>
        <w:rPr>
          <w:b/>
          <w:sz w:val="20"/>
        </w:rPr>
        <w:t>7.3 Forensic-attribution gap.</w:t>
      </w:r>
      <w:r>
        <w:rPr>
          <w:sz w:val="20"/>
        </w:rPr>
        <w:t xml:space="preserve"> Synthesis chemistry leaves condition-dependent error signatures (e.g. the capping-driven G→A phenotype, Masaki et al., 2022). No synthesis-method error-signature catalogue yet exists; Chapter 4 develops that specification.</w:t>
      </w:r>
    </w:p>
    <w:p>
      <w:pPr>
        <w:pStyle w:val="Heading2"/>
      </w:pPr>
      <w:r>
        <w:rPr>
          <w:color w:val="1F3A5F"/>
          <w:sz w:val="20"/>
        </w:rPr>
        <w:t>8. Summary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0"/>
            </w:pPr>
            <w:r>
              <w:rPr>
                <w:b/>
                <w:sz w:val="20"/>
              </w:rPr>
              <w:t>Dimension</w:t>
            </w:r>
          </w:p>
        </w:tc>
        <w:tc>
          <w:tcPr>
            <w:tcW w:type="dxa" w:w="1080"/>
          </w:tcPr>
          <w:p>
            <w:pPr>
              <w:spacing w:after="0"/>
            </w:pPr>
            <w:r>
              <w:rPr>
                <w:b/>
                <w:sz w:val="20"/>
              </w:rPr>
              <w:t>OpenIDS</w:t>
            </w:r>
          </w:p>
        </w:tc>
        <w:tc>
          <w:tcPr>
            <w:tcW w:type="dxa" w:w="1080"/>
          </w:tcPr>
          <w:p>
            <w:pPr>
              <w:spacing w:after="0"/>
            </w:pPr>
            <w:r>
              <w:rPr>
                <w:b/>
                <w:sz w:val="20"/>
              </w:rPr>
              <w:t>MAS 2.0</w:t>
            </w:r>
          </w:p>
        </w:tc>
        <w:tc>
          <w:tcPr>
            <w:tcW w:type="dxa" w:w="1080"/>
          </w:tcPr>
          <w:p>
            <w:pPr>
              <w:spacing w:after="0"/>
            </w:pPr>
            <w:r>
              <w:rPr>
                <w:b/>
                <w:sz w:val="20"/>
              </w:rPr>
              <w:t>Electrochemical</w:t>
            </w:r>
          </w:p>
        </w:tc>
        <w:tc>
          <w:tcPr>
            <w:tcW w:type="dxa" w:w="1080"/>
          </w:tcPr>
          <w:p>
            <w:pPr>
              <w:spacing w:after="0"/>
            </w:pPr>
            <w:r>
              <w:rPr>
                <w:b/>
                <w:sz w:val="20"/>
              </w:rPr>
              <w:t>Enz. (service)</w:t>
            </w:r>
          </w:p>
        </w:tc>
        <w:tc>
          <w:tcPr>
            <w:tcW w:type="dxa" w:w="1080"/>
          </w:tcPr>
          <w:p>
            <w:pPr>
              <w:spacing w:after="0"/>
            </w:pPr>
            <w:r>
              <w:rPr>
                <w:b/>
                <w:sz w:val="20"/>
              </w:rPr>
              <w:t>Enz. (benchtop)</w:t>
            </w:r>
          </w:p>
        </w:tc>
        <w:tc>
          <w:tcPr>
            <w:tcW w:type="dxa" w:w="1080"/>
          </w:tcPr>
          <w:p>
            <w:pPr>
              <w:spacing w:after="0"/>
            </w:pPr>
            <w:r>
              <w:rPr>
                <w:b/>
                <w:sz w:val="20"/>
              </w:rPr>
              <w:t>DropSynth</w:t>
            </w:r>
          </w:p>
        </w:tc>
        <w:tc>
          <w:tcPr>
            <w:tcW w:type="dxa" w:w="1080"/>
          </w:tcPr>
          <w:p>
            <w:pPr>
              <w:spacing w:after="0"/>
            </w:pPr>
            <w:r>
              <w:rPr>
                <w:b/>
                <w:sz w:val="20"/>
              </w:rPr>
              <w:t>Commercial</w:t>
            </w:r>
          </w:p>
        </w:tc>
      </w:tr>
      <w:tr>
        <w:tc>
          <w:tcPr>
            <w:tcW w:type="dxa" w:w="1080"/>
          </w:tcPr>
          <w:p>
            <w:pPr>
              <w:spacing w:after="0"/>
            </w:pPr>
            <w:r>
              <w:rPr>
                <w:sz w:val="20"/>
              </w:rPr>
              <w:t>TRL</w:t>
            </w:r>
          </w:p>
        </w:tc>
        <w:tc>
          <w:tcPr>
            <w:tcW w:type="dxa" w:w="1080"/>
          </w:tcPr>
          <w:p>
            <w:pPr>
              <w:spacing w:after="0"/>
            </w:pPr>
            <w:r>
              <w:rPr>
                <w:sz w:val="20"/>
              </w:rPr>
              <w:t>5 [HIGH]</w:t>
            </w:r>
          </w:p>
        </w:tc>
        <w:tc>
          <w:tcPr>
            <w:tcW w:type="dxa" w:w="1080"/>
          </w:tcPr>
          <w:p>
            <w:pPr>
              <w:spacing w:after="0"/>
            </w:pPr>
            <w:r>
              <w:rPr>
                <w:sz w:val="20"/>
              </w:rPr>
              <w:t>5 [MED]</w:t>
            </w:r>
          </w:p>
        </w:tc>
        <w:tc>
          <w:tcPr>
            <w:tcW w:type="dxa" w:w="1080"/>
          </w:tcPr>
          <w:p>
            <w:pPr>
              <w:spacing w:after="0"/>
            </w:pPr>
            <w:r>
              <w:rPr>
                <w:sz w:val="20"/>
              </w:rPr>
              <w:t>3 [LOW*]</w:t>
            </w:r>
          </w:p>
        </w:tc>
        <w:tc>
          <w:tcPr>
            <w:tcW w:type="dxa" w:w="1080"/>
          </w:tcPr>
          <w:p>
            <w:pPr>
              <w:spacing w:after="0"/>
            </w:pPr>
            <w:r>
              <w:rPr>
                <w:sz w:val="20"/>
              </w:rPr>
              <w:t>5 [HIGH]</w:t>
            </w:r>
          </w:p>
        </w:tc>
        <w:tc>
          <w:tcPr>
            <w:tcW w:type="dxa" w:w="1080"/>
          </w:tcPr>
          <w:p>
            <w:pPr>
              <w:spacing w:after="0"/>
            </w:pPr>
            <w:r>
              <w:rPr>
                <w:sz w:val="20"/>
              </w:rPr>
              <w:t>5 [HIGH]</w:t>
            </w:r>
          </w:p>
        </w:tc>
        <w:tc>
          <w:tcPr>
            <w:tcW w:type="dxa" w:w="1080"/>
          </w:tcPr>
          <w:p>
            <w:pPr>
              <w:spacing w:after="0"/>
            </w:pPr>
            <w:r>
              <w:rPr>
                <w:sz w:val="20"/>
              </w:rPr>
              <w:t>4 [MED]</w:t>
            </w:r>
          </w:p>
        </w:tc>
        <w:tc>
          <w:tcPr>
            <w:tcW w:type="dxa" w:w="1080"/>
          </w:tcPr>
          <w:p>
            <w:pPr>
              <w:spacing w:after="0"/>
            </w:pPr>
            <w:r>
              <w:rPr>
                <w:sz w:val="20"/>
              </w:rPr>
              <w:t>9 [HIGH]</w:t>
            </w:r>
          </w:p>
        </w:tc>
      </w:tr>
      <w:tr>
        <w:tc>
          <w:tcPr>
            <w:tcW w:type="dxa" w:w="1080"/>
          </w:tcPr>
          <w:p>
            <w:pPr>
              <w:spacing w:after="0"/>
            </w:pPr>
            <w:r>
              <w:rPr>
                <w:sz w:val="20"/>
              </w:rPr>
              <w:t>Capital</w:t>
            </w:r>
          </w:p>
        </w:tc>
        <w:tc>
          <w:tcPr>
            <w:tcW w:type="dxa" w:w="1080"/>
          </w:tcPr>
          <w:p>
            <w:pPr>
              <w:spacing w:after="0"/>
            </w:pPr>
            <w:r>
              <w:rPr>
                <w:sz w:val="20"/>
              </w:rPr>
              <w:t>$20K [15–25K]</w:t>
            </w:r>
          </w:p>
        </w:tc>
        <w:tc>
          <w:tcPr>
            <w:tcW w:type="dxa" w:w="1080"/>
          </w:tcPr>
          <w:p>
            <w:pPr>
              <w:spacing w:after="0"/>
            </w:pPr>
            <w:r>
              <w:rPr>
                <w:sz w:val="20"/>
              </w:rPr>
              <w:t>~$30K [tens of $K, est]</w:t>
            </w:r>
          </w:p>
        </w:tc>
        <w:tc>
          <w:tcPr>
            <w:tcW w:type="dxa" w:w="1080"/>
          </w:tcPr>
          <w:p>
            <w:pPr>
              <w:spacing w:after="0"/>
            </w:pPr>
            <w:r>
              <w:rPr>
                <w:color w:val="C00000"/>
                <w:sz w:val="20"/>
              </w:rPr>
              <w:t>~$12K est [8–20K]</w:t>
            </w:r>
          </w:p>
        </w:tc>
        <w:tc>
          <w:tcPr>
            <w:tcW w:type="dxa" w:w="1080"/>
          </w:tcPr>
          <w:p>
            <w:pPr>
              <w:spacing w:after="0"/>
            </w:pPr>
            <w:r>
              <w:rPr>
                <w:sz w:val="20"/>
              </w:rPr>
              <w:t>$0</w:t>
            </w:r>
          </w:p>
        </w:tc>
        <w:tc>
          <w:tcPr>
            <w:tcW w:type="dxa" w:w="1080"/>
          </w:tcPr>
          <w:p>
            <w:pPr>
              <w:spacing w:after="0"/>
            </w:pPr>
            <w:r>
              <w:rPr>
                <w:sz w:val="20"/>
              </w:rPr>
              <w:t>~$292K [single est.]</w:t>
            </w:r>
          </w:p>
        </w:tc>
        <w:tc>
          <w:tcPr>
            <w:tcW w:type="dxa" w:w="1080"/>
          </w:tcPr>
          <w:p>
            <w:pPr>
              <w:spacing w:after="0"/>
            </w:pPr>
            <w:r>
              <w:rPr>
                <w:sz w:val="20"/>
              </w:rPr>
              <w:t>~$3,400</w:t>
            </w:r>
          </w:p>
        </w:tc>
        <w:tc>
          <w:tcPr>
            <w:tcW w:type="dxa" w:w="1080"/>
          </w:tcPr>
          <w:p>
            <w:pPr>
              <w:spacing w:after="0"/>
            </w:pPr>
            <w:r>
              <w:rPr>
                <w:sz w:val="20"/>
              </w:rPr>
              <w:t>~$60K [15–150K]</w:t>
            </w:r>
          </w:p>
        </w:tc>
      </w:tr>
      <w:tr>
        <w:tc>
          <w:tcPr>
            <w:tcW w:type="dxa" w:w="1080"/>
          </w:tcPr>
          <w:p>
            <w:pPr>
              <w:spacing w:after="0"/>
            </w:pPr>
            <w:r>
              <w:rPr>
                <w:sz w:val="20"/>
              </w:rPr>
              <w:t>Cost/usable base</w:t>
            </w:r>
          </w:p>
        </w:tc>
        <w:tc>
          <w:tcPr>
            <w:tcW w:type="dxa" w:w="1080"/>
          </w:tcPr>
          <w:p>
            <w:pPr>
              <w:spacing w:after="0"/>
            </w:pPr>
            <w:r>
              <w:rPr>
                <w:sz w:val="20"/>
              </w:rPr>
              <w:t>~$0.044 floor</w:t>
            </w:r>
          </w:p>
        </w:tc>
        <w:tc>
          <w:tcPr>
            <w:tcW w:type="dxa" w:w="1080"/>
          </w:tcPr>
          <w:p>
            <w:pPr>
              <w:spacing w:after="0"/>
            </w:pPr>
            <w:r>
              <w:rPr>
                <w:sz w:val="20"/>
              </w:rPr>
              <w:t>not reported</w:t>
            </w:r>
          </w:p>
        </w:tc>
        <w:tc>
          <w:tcPr>
            <w:tcW w:type="dxa" w:w="1080"/>
          </w:tcPr>
          <w:p>
            <w:pPr>
              <w:spacing w:after="0"/>
            </w:pPr>
            <w:r>
              <w:rPr>
                <w:sz w:val="20"/>
              </w:rPr>
              <w:t>array $0.00001–0.001/base</w:t>
            </w:r>
          </w:p>
        </w:tc>
        <w:tc>
          <w:tcPr>
            <w:tcW w:type="dxa" w:w="1080"/>
          </w:tcPr>
          <w:p>
            <w:pPr>
              <w:spacing w:after="0"/>
            </w:pPr>
            <w:r>
              <w:rPr>
                <w:sz w:val="20"/>
              </w:rPr>
              <w:t>$0.13–0.38/bp (Ansa)</w:t>
            </w:r>
          </w:p>
        </w:tc>
        <w:tc>
          <w:tcPr>
            <w:tcW w:type="dxa" w:w="1080"/>
          </w:tcPr>
          <w:p>
            <w:pPr>
              <w:spacing w:after="0"/>
            </w:pPr>
            <w:r>
              <w:rPr>
                <w:sz w:val="20"/>
              </w:rPr>
              <w:t>consumable unpub.</w:t>
            </w:r>
          </w:p>
        </w:tc>
        <w:tc>
          <w:tcPr>
            <w:tcW w:type="dxa" w:w="1080"/>
          </w:tcPr>
          <w:p>
            <w:pPr>
              <w:spacing w:after="0"/>
            </w:pPr>
            <w:r>
              <w:rPr>
                <w:sz w:val="20"/>
              </w:rPr>
              <w:t>$0.72–1.24/gene (Sidore 2020)</w:t>
            </w:r>
          </w:p>
        </w:tc>
        <w:tc>
          <w:tcPr>
            <w:tcW w:type="dxa" w:w="1080"/>
          </w:tcPr>
          <w:p>
            <w:pPr>
              <w:spacing w:after="0"/>
            </w:pPr>
            <w:r>
              <w:rPr>
                <w:sz w:val="20"/>
              </w:rPr>
              <w:t>~$0.30/bp (market)</w:t>
            </w:r>
          </w:p>
        </w:tc>
      </w:tr>
      <w:tr>
        <w:tc>
          <w:tcPr>
            <w:tcW w:type="dxa" w:w="1080"/>
          </w:tcPr>
          <w:p>
            <w:pPr>
              <w:spacing w:after="0"/>
            </w:pPr>
            <w:r>
              <w:rPr>
                <w:sz w:val="20"/>
              </w:rPr>
              <w:t>Expertise</w:t>
            </w:r>
          </w:p>
        </w:tc>
        <w:tc>
          <w:tcPr>
            <w:tcW w:type="dxa" w:w="1080"/>
          </w:tcPr>
          <w:p>
            <w:pPr>
              <w:spacing w:after="0"/>
            </w:pPr>
            <w:r>
              <w:rPr>
                <w:sz w:val="20"/>
              </w:rPr>
              <w:t>6/10</w:t>
            </w:r>
          </w:p>
        </w:tc>
        <w:tc>
          <w:tcPr>
            <w:tcW w:type="dxa" w:w="1080"/>
          </w:tcPr>
          <w:p>
            <w:pPr>
              <w:spacing w:after="0"/>
            </w:pPr>
            <w:r>
              <w:rPr>
                <w:sz w:val="20"/>
              </w:rPr>
              <w:t>8/10</w:t>
            </w:r>
          </w:p>
        </w:tc>
        <w:tc>
          <w:tcPr>
            <w:tcW w:type="dxa" w:w="1080"/>
          </w:tcPr>
          <w:p>
            <w:pPr>
              <w:spacing w:after="0"/>
            </w:pPr>
            <w:r>
              <w:rPr>
                <w:sz w:val="20"/>
              </w:rPr>
              <w:t>7/10</w:t>
            </w:r>
          </w:p>
        </w:tc>
        <w:tc>
          <w:tcPr>
            <w:tcW w:type="dxa" w:w="1080"/>
          </w:tcPr>
          <w:p>
            <w:pPr>
              <w:spacing w:after="0"/>
            </w:pPr>
            <w:r>
              <w:rPr>
                <w:sz w:val="20"/>
              </w:rPr>
              <w:t>2/10</w:t>
            </w:r>
          </w:p>
        </w:tc>
        <w:tc>
          <w:tcPr>
            <w:tcW w:type="dxa" w:w="1080"/>
          </w:tcPr>
          <w:p>
            <w:pPr>
              <w:spacing w:after="0"/>
            </w:pPr>
            <w:r>
              <w:rPr>
                <w:sz w:val="20"/>
              </w:rPr>
              <w:t>5/10</w:t>
            </w:r>
          </w:p>
        </w:tc>
        <w:tc>
          <w:tcPr>
            <w:tcW w:type="dxa" w:w="1080"/>
          </w:tcPr>
          <w:p>
            <w:pPr>
              <w:spacing w:after="0"/>
            </w:pPr>
            <w:r>
              <w:rPr>
                <w:sz w:val="20"/>
              </w:rPr>
              <w:t>8/10</w:t>
            </w:r>
          </w:p>
        </w:tc>
        <w:tc>
          <w:tcPr>
            <w:tcW w:type="dxa" w:w="1080"/>
          </w:tcPr>
          <w:p>
            <w:pPr>
              <w:spacing w:after="0"/>
            </w:pPr>
            <w:r>
              <w:rPr>
                <w:sz w:val="20"/>
              </w:rPr>
              <w:t>2/10</w:t>
            </w:r>
          </w:p>
        </w:tc>
      </w:tr>
      <w:tr>
        <w:tc>
          <w:tcPr>
            <w:tcW w:type="dxa" w:w="1080"/>
          </w:tcPr>
          <w:p>
            <w:pPr>
              <w:spacing w:after="0"/>
            </w:pPr>
            <w:r>
              <w:rPr>
                <w:sz w:val="20"/>
              </w:rPr>
              <w:t>Time-to-first</w:t>
            </w:r>
          </w:p>
        </w:tc>
        <w:tc>
          <w:tcPr>
            <w:tcW w:type="dxa" w:w="1080"/>
          </w:tcPr>
          <w:p>
            <w:pPr>
              <w:spacing w:after="0"/>
            </w:pPr>
            <w:r>
              <w:rPr>
                <w:sz w:val="20"/>
              </w:rPr>
              <w:t>~4 wk</w:t>
            </w:r>
          </w:p>
        </w:tc>
        <w:tc>
          <w:tcPr>
            <w:tcW w:type="dxa" w:w="1080"/>
          </w:tcPr>
          <w:p>
            <w:pPr>
              <w:spacing w:after="0"/>
            </w:pPr>
            <w:r>
              <w:rPr>
                <w:sz w:val="20"/>
              </w:rPr>
              <w:t>~8–16 wk</w:t>
            </w:r>
          </w:p>
        </w:tc>
        <w:tc>
          <w:tcPr>
            <w:tcW w:type="dxa" w:w="1080"/>
          </w:tcPr>
          <w:p>
            <w:pPr>
              <w:spacing w:after="0"/>
            </w:pPr>
            <w:r>
              <w:rPr>
                <w:sz w:val="20"/>
              </w:rPr>
              <w:t>~12 wk</w:t>
            </w:r>
          </w:p>
        </w:tc>
        <w:tc>
          <w:tcPr>
            <w:tcW w:type="dxa" w:w="1080"/>
          </w:tcPr>
          <w:p>
            <w:pPr>
              <w:spacing w:after="0"/>
            </w:pPr>
            <w:r>
              <w:rPr>
                <w:sz w:val="20"/>
              </w:rPr>
              <w:t>~7 d</w:t>
            </w:r>
          </w:p>
        </w:tc>
        <w:tc>
          <w:tcPr>
            <w:tcW w:type="dxa" w:w="1080"/>
          </w:tcPr>
          <w:p>
            <w:pPr>
              <w:spacing w:after="0"/>
            </w:pPr>
            <w:r>
              <w:rPr>
                <w:sz w:val="20"/>
              </w:rPr>
              <w:t>3–5 d</w:t>
            </w:r>
          </w:p>
        </w:tc>
        <w:tc>
          <w:tcPr>
            <w:tcW w:type="dxa" w:w="1080"/>
          </w:tcPr>
          <w:p>
            <w:pPr>
              <w:spacing w:after="0"/>
            </w:pPr>
            <w:r>
              <w:rPr>
                <w:sz w:val="20"/>
              </w:rPr>
              <w:t>~16 wk</w:t>
            </w:r>
          </w:p>
        </w:tc>
        <w:tc>
          <w:tcPr>
            <w:tcW w:type="dxa" w:w="1080"/>
          </w:tcPr>
          <w:p>
            <w:pPr>
              <w:spacing w:after="0"/>
            </w:pPr>
            <w:r>
              <w:rPr>
                <w:sz w:val="20"/>
              </w:rPr>
              <w:t>1–2 d</w:t>
            </w:r>
          </w:p>
        </w:tc>
      </w:tr>
      <w:tr>
        <w:tc>
          <w:tcPr>
            <w:tcW w:type="dxa" w:w="1080"/>
          </w:tcPr>
          <w:p>
            <w:pPr>
              <w:spacing w:after="0"/>
            </w:pPr>
            <w:r>
              <w:rPr>
                <w:sz w:val="20"/>
              </w:rPr>
              <w:t>Usable length @ hi-fi</w:t>
            </w:r>
          </w:p>
        </w:tc>
        <w:tc>
          <w:tcPr>
            <w:tcW w:type="dxa" w:w="1080"/>
          </w:tcPr>
          <w:p>
            <w:pPr>
              <w:spacing w:after="0"/>
            </w:pPr>
            <w:r>
              <w:rPr>
                <w:sz w:val="20"/>
              </w:rPr>
              <w:t>~15–30 nt</w:t>
            </w:r>
          </w:p>
        </w:tc>
        <w:tc>
          <w:tcPr>
            <w:tcW w:type="dxa" w:w="1080"/>
          </w:tcPr>
          <w:p>
            <w:pPr>
              <w:spacing w:after="0"/>
            </w:pPr>
            <w:r>
              <w:rPr>
                <w:sz w:val="20"/>
              </w:rPr>
              <w:t>library-grade</w:t>
            </w:r>
          </w:p>
        </w:tc>
        <w:tc>
          <w:tcPr>
            <w:tcW w:type="dxa" w:w="1080"/>
          </w:tcPr>
          <w:p>
            <w:pPr>
              <w:spacing w:after="0"/>
            </w:pPr>
            <w:r>
              <w:rPr>
                <w:sz w:val="20"/>
              </w:rPr>
              <w:t>not established</w:t>
            </w:r>
          </w:p>
        </w:tc>
        <w:tc>
          <w:tcPr>
            <w:tcW w:type="dxa" w:w="1080"/>
          </w:tcPr>
          <w:p>
            <w:pPr>
              <w:spacing w:after="0"/>
            </w:pPr>
            <w:r>
              <w:rPr>
                <w:sz w:val="20"/>
              </w:rPr>
              <w:t>verified (service)</w:t>
            </w:r>
          </w:p>
        </w:tc>
        <w:tc>
          <w:tcPr>
            <w:tcW w:type="dxa" w:w="1080"/>
          </w:tcPr>
          <w:p>
            <w:pPr>
              <w:spacing w:after="0"/>
            </w:pPr>
            <w:r>
              <w:rPr>
                <w:sz w:val="20"/>
              </w:rPr>
              <w:t>80–120 nt</w:t>
            </w:r>
          </w:p>
        </w:tc>
        <w:tc>
          <w:tcPr>
            <w:tcW w:type="dxa" w:w="1080"/>
          </w:tcPr>
          <w:p>
            <w:pPr>
              <w:spacing w:after="0"/>
            </w:pPr>
            <w:r>
              <w:rPr>
                <w:sz w:val="20"/>
              </w:rPr>
              <w:t>short (assembly OOS)</w:t>
            </w:r>
          </w:p>
        </w:tc>
        <w:tc>
          <w:tcPr>
            <w:tcW w:type="dxa" w:w="1080"/>
          </w:tcPr>
          <w:p>
            <w:pPr>
              <w:spacing w:after="0"/>
            </w:pPr>
            <w:r>
              <w:rPr>
                <w:sz w:val="20"/>
              </w:rPr>
              <w:t>~100–150 nt</w:t>
            </w:r>
          </w:p>
        </w:tc>
      </w:tr>
      <w:tr>
        <w:tc>
          <w:tcPr>
            <w:tcW w:type="dxa" w:w="1080"/>
          </w:tcPr>
          <w:p>
            <w:pPr>
              <w:spacing w:after="0"/>
            </w:pPr>
            <w:r>
              <w:rPr>
                <w:sz w:val="20"/>
              </w:rPr>
              <w:t>Throughput</w:t>
            </w:r>
          </w:p>
        </w:tc>
        <w:tc>
          <w:tcPr>
            <w:tcW w:type="dxa" w:w="1080"/>
          </w:tcPr>
          <w:p>
            <w:pPr>
              <w:spacing w:after="0"/>
            </w:pPr>
            <w:r>
              <w:rPr>
                <w:sz w:val="20"/>
              </w:rPr>
              <w:t>~144/array</w:t>
            </w:r>
          </w:p>
        </w:tc>
        <w:tc>
          <w:tcPr>
            <w:tcW w:type="dxa" w:w="1080"/>
          </w:tcPr>
          <w:p>
            <w:pPr>
              <w:spacing w:after="0"/>
            </w:pPr>
            <w:r>
              <w:rPr>
                <w:sz w:val="20"/>
              </w:rPr>
              <w:t>high (array)</w:t>
            </w:r>
          </w:p>
        </w:tc>
        <w:tc>
          <w:tcPr>
            <w:tcW w:type="dxa" w:w="1080"/>
          </w:tcPr>
          <w:p>
            <w:pPr>
              <w:spacing w:after="0"/>
            </w:pPr>
            <w:r>
              <w:rPr>
                <w:sz w:val="20"/>
              </w:rPr>
              <w:t>—</w:t>
            </w:r>
          </w:p>
        </w:tc>
        <w:tc>
          <w:tcPr>
            <w:tcW w:type="dxa" w:w="1080"/>
          </w:tcPr>
          <w:p>
            <w:pPr>
              <w:spacing w:after="0"/>
            </w:pPr>
            <w:r>
              <w:rPr>
                <w:sz w:val="20"/>
              </w:rPr>
              <w:t>N/A (service)</w:t>
            </w:r>
          </w:p>
        </w:tc>
        <w:tc>
          <w:tcPr>
            <w:tcW w:type="dxa" w:w="1080"/>
          </w:tcPr>
          <w:p>
            <w:pPr>
              <w:spacing w:after="0"/>
            </w:pPr>
            <w:r>
              <w:rPr>
                <w:sz w:val="20"/>
              </w:rPr>
              <w:t>96 parallel</w:t>
            </w:r>
          </w:p>
        </w:tc>
        <w:tc>
          <w:tcPr>
            <w:tcW w:type="dxa" w:w="1080"/>
          </w:tcPr>
          <w:p>
            <w:pPr>
              <w:spacing w:after="0"/>
            </w:pPr>
            <w:r>
              <w:rPr>
                <w:sz w:val="20"/>
              </w:rPr>
              <w:t>100s–1000s</w:t>
            </w:r>
          </w:p>
        </w:tc>
        <w:tc>
          <w:tcPr>
            <w:tcW w:type="dxa" w:w="1080"/>
          </w:tcPr>
          <w:p>
            <w:pPr>
              <w:spacing w:after="0"/>
            </w:pPr>
            <w:r>
              <w:rPr>
                <w:sz w:val="20"/>
              </w:rPr>
              <w:t>1–48 columns</w:t>
            </w:r>
          </w:p>
        </w:tc>
      </w:tr>
      <w:tr>
        <w:tc>
          <w:tcPr>
            <w:tcW w:type="dxa" w:w="1080"/>
          </w:tcPr>
          <w:p>
            <w:pPr>
              <w:spacing w:after="0"/>
            </w:pPr>
            <w:r>
              <w:rPr>
                <w:sz w:val="20"/>
              </w:rPr>
              <w:t>Yield (per-cycle)</w:t>
            </w:r>
          </w:p>
        </w:tc>
        <w:tc>
          <w:tcPr>
            <w:tcW w:type="dxa" w:w="1080"/>
          </w:tcPr>
          <w:p>
            <w:pPr>
              <w:spacing w:after="0"/>
            </w:pPr>
            <w:r>
              <w:rPr>
                <w:sz w:val="20"/>
              </w:rPr>
              <w:t>~98%</w:t>
            </w:r>
          </w:p>
        </w:tc>
        <w:tc>
          <w:tcPr>
            <w:tcW w:type="dxa" w:w="1080"/>
          </w:tcPr>
          <w:p>
            <w:pPr>
              <w:spacing w:after="0"/>
            </w:pPr>
            <w:r>
              <w:rPr>
                <w:sz w:val="20"/>
              </w:rPr>
              <w:t>photo-limited</w:t>
            </w:r>
          </w:p>
        </w:tc>
        <w:tc>
          <w:tcPr>
            <w:tcW w:type="dxa" w:w="1080"/>
          </w:tcPr>
          <w:p>
            <w:pPr>
              <w:spacing w:after="0"/>
            </w:pPr>
            <w:r>
              <w:rPr>
                <w:sz w:val="20"/>
              </w:rPr>
              <w:t>~85% est</w:t>
            </w:r>
          </w:p>
        </w:tc>
        <w:tc>
          <w:tcPr>
            <w:tcW w:type="dxa" w:w="1080"/>
          </w:tcPr>
          <w:p>
            <w:pPr>
              <w:spacing w:after="0"/>
            </w:pPr>
            <w:r>
              <w:rPr>
                <w:sz w:val="20"/>
              </w:rPr>
              <w:t>provider-side</w:t>
            </w:r>
          </w:p>
        </w:tc>
        <w:tc>
          <w:tcPr>
            <w:tcW w:type="dxa" w:w="1080"/>
          </w:tcPr>
          <w:p>
            <w:pPr>
              <w:spacing w:after="0"/>
            </w:pPr>
            <w:r>
              <w:rPr>
                <w:sz w:val="20"/>
              </w:rPr>
              <w:t>~95%+</w:t>
            </w:r>
          </w:p>
        </w:tc>
        <w:tc>
          <w:tcPr>
            <w:tcW w:type="dxa" w:w="1080"/>
          </w:tcPr>
          <w:p>
            <w:pPr>
              <w:spacing w:after="0"/>
            </w:pPr>
            <w:r>
              <w:rPr>
                <w:sz w:val="20"/>
              </w:rPr>
              <w:t>~95%</w:t>
            </w:r>
          </w:p>
        </w:tc>
        <w:tc>
          <w:tcPr>
            <w:tcW w:type="dxa" w:w="1080"/>
          </w:tcPr>
          <w:p>
            <w:pPr>
              <w:spacing w:after="0"/>
            </w:pPr>
            <w:r>
              <w:rPr>
                <w:sz w:val="20"/>
              </w:rPr>
              <w:t>~99%</w:t>
            </w:r>
          </w:p>
        </w:tc>
      </w:tr>
      <w:tr>
        <w:tc>
          <w:tcPr>
            <w:tcW w:type="dxa" w:w="1080"/>
          </w:tcPr>
          <w:p>
            <w:pPr>
              <w:spacing w:after="0"/>
            </w:pPr>
            <w:r>
              <w:rPr>
                <w:sz w:val="20"/>
              </w:rPr>
              <w:t>Evasion (R0)</w:t>
            </w:r>
          </w:p>
        </w:tc>
        <w:tc>
          <w:tcPr>
            <w:tcW w:type="dxa" w:w="1080"/>
          </w:tcPr>
          <w:p>
            <w:pPr>
              <w:spacing w:after="0"/>
            </w:pPr>
            <w:r>
              <w:rPr>
                <w:sz w:val="20"/>
              </w:rPr>
              <w:t>Medium</w:t>
            </w:r>
          </w:p>
        </w:tc>
        <w:tc>
          <w:tcPr>
            <w:tcW w:type="dxa" w:w="1080"/>
          </w:tcPr>
          <w:p>
            <w:pPr>
              <w:spacing w:after="0"/>
            </w:pPr>
            <w:r>
              <w:rPr>
                <w:sz w:val="20"/>
              </w:rPr>
              <w:t>Medium</w:t>
            </w:r>
          </w:p>
        </w:tc>
        <w:tc>
          <w:tcPr>
            <w:tcW w:type="dxa" w:w="1080"/>
          </w:tcPr>
          <w:p>
            <w:pPr>
              <w:spacing w:after="0"/>
            </w:pPr>
            <w:r>
              <w:rPr>
                <w:sz w:val="20"/>
              </w:rPr>
              <w:t>High*</w:t>
            </w:r>
          </w:p>
        </w:tc>
        <w:tc>
          <w:tcPr>
            <w:tcW w:type="dxa" w:w="1080"/>
          </w:tcPr>
          <w:p>
            <w:pPr>
              <w:spacing w:after="0"/>
            </w:pPr>
            <w:r>
              <w:rPr>
                <w:sz w:val="20"/>
              </w:rPr>
              <w:t>Low</w:t>
            </w:r>
          </w:p>
        </w:tc>
        <w:tc>
          <w:tcPr>
            <w:tcW w:type="dxa" w:w="1080"/>
          </w:tcPr>
          <w:p>
            <w:pPr>
              <w:spacing w:after="0"/>
            </w:pPr>
            <w:r>
              <w:rPr>
                <w:sz w:val="20"/>
              </w:rPr>
              <w:t>Medium</w:t>
            </w:r>
          </w:p>
        </w:tc>
        <w:tc>
          <w:tcPr>
            <w:tcW w:type="dxa" w:w="1080"/>
          </w:tcPr>
          <w:p>
            <w:pPr>
              <w:spacing w:after="0"/>
            </w:pPr>
            <w:r>
              <w:rPr>
                <w:color w:val="C00000"/>
                <w:sz w:val="20"/>
              </w:rPr>
              <w:t>Medium</w:t>
            </w:r>
          </w:p>
        </w:tc>
        <w:tc>
          <w:tcPr>
            <w:tcW w:type="dxa" w:w="1080"/>
          </w:tcPr>
          <w:p>
            <w:pPr>
              <w:spacing w:after="0"/>
            </w:pPr>
            <w:r>
              <w:rPr>
                <w:sz w:val="20"/>
              </w:rPr>
              <w:t>Medium</w:t>
            </w:r>
          </w:p>
        </w:tc>
      </w:tr>
      <w:tr>
        <w:tc>
          <w:tcPr>
            <w:tcW w:type="dxa" w:w="1080"/>
          </w:tcPr>
          <w:p>
            <w:pPr>
              <w:spacing w:after="0"/>
            </w:pPr>
            <w:r>
              <w:rPr>
                <w:sz w:val="20"/>
              </w:rPr>
              <w:t>Evasion (R1)</w:t>
            </w:r>
          </w:p>
        </w:tc>
        <w:tc>
          <w:tcPr>
            <w:tcW w:type="dxa" w:w="1080"/>
          </w:tcPr>
          <w:p>
            <w:pPr>
              <w:spacing w:after="0"/>
            </w:pPr>
            <w:r>
              <w:rPr>
                <w:sz w:val="20"/>
              </w:rPr>
              <w:t>Low</w:t>
            </w:r>
          </w:p>
        </w:tc>
        <w:tc>
          <w:tcPr>
            <w:tcW w:type="dxa" w:w="1080"/>
          </w:tcPr>
          <w:p>
            <w:pPr>
              <w:spacing w:after="0"/>
            </w:pPr>
            <w:r>
              <w:rPr>
                <w:sz w:val="20"/>
              </w:rPr>
              <w:t>Low</w:t>
            </w:r>
          </w:p>
        </w:tc>
        <w:tc>
          <w:tcPr>
            <w:tcW w:type="dxa" w:w="1080"/>
          </w:tcPr>
          <w:p>
            <w:pPr>
              <w:spacing w:after="0"/>
            </w:pPr>
            <w:r>
              <w:rPr>
                <w:sz w:val="20"/>
              </w:rPr>
              <w:t>Medium*</w:t>
            </w:r>
          </w:p>
        </w:tc>
        <w:tc>
          <w:tcPr>
            <w:tcW w:type="dxa" w:w="1080"/>
          </w:tcPr>
          <w:p>
            <w:pPr>
              <w:spacing w:after="0"/>
            </w:pPr>
            <w:r>
              <w:rPr>
                <w:sz w:val="20"/>
              </w:rPr>
              <w:t>Very Low</w:t>
            </w:r>
          </w:p>
        </w:tc>
        <w:tc>
          <w:tcPr>
            <w:tcW w:type="dxa" w:w="1080"/>
          </w:tcPr>
          <w:p>
            <w:pPr>
              <w:spacing w:after="0"/>
            </w:pPr>
            <w:r>
              <w:rPr>
                <w:sz w:val="20"/>
              </w:rPr>
              <w:t>Low</w:t>
            </w:r>
          </w:p>
        </w:tc>
        <w:tc>
          <w:tcPr>
            <w:tcW w:type="dxa" w:w="1080"/>
          </w:tcPr>
          <w:p>
            <w:pPr>
              <w:spacing w:after="0"/>
            </w:pPr>
            <w:r>
              <w:rPr>
                <w:color w:val="C00000"/>
                <w:sz w:val="20"/>
              </w:rPr>
              <w:t>Low</w:t>
            </w:r>
          </w:p>
        </w:tc>
        <w:tc>
          <w:tcPr>
            <w:tcW w:type="dxa" w:w="1080"/>
          </w:tcPr>
          <w:p>
            <w:pPr>
              <w:spacing w:after="0"/>
            </w:pPr>
            <w:r>
              <w:rPr>
                <w:sz w:val="20"/>
              </w:rPr>
              <w:t>Low</w:t>
            </w:r>
          </w:p>
        </w:tc>
      </w:tr>
    </w:tbl>
    <w:p/>
    <w:p>
      <w:pPr>
        <w:spacing w:after="120"/>
      </w:pPr>
      <w:r>
        <w:rPr>
          <w:sz w:val="20"/>
        </w:rPr>
        <w:t xml:space="preserve">*Electrochemical values are conditional-future (TRL 3); DropSynth is TRL 4 (assembly). </w:t>
      </w:r>
      <w:r>
        <w:rPr>
          <w:color w:val="C00000"/>
          <w:sz w:val="20"/>
        </w:rPr>
        <w:t>DropSynth evasion (Medium→Low) now matches §4.1.</w:t>
      </w:r>
      <w:r>
        <w:rPr>
          <w:sz w:val="20"/>
        </w:rPr>
        <w:t xml:space="preserve"> Evasion scores are scenario notes, not findings.*</w:t>
      </w:r>
    </w:p>
    <w:p>
      <w:pPr>
        <w:spacing w:after="120"/>
      </w:pPr>
      <w:r>
        <w:rPr>
          <w:b/>
          <w:sz w:val="20"/>
        </w:rPr>
        <w:t>TRL note.</w:t>
      </w:r>
      <w:r>
        <w:rPr>
          <w:sz w:val="20"/>
        </w:rPr>
        <w:t xml:space="preserve"> These seven approaches match the literature review's readiness scores: OpenIDS 5, MAS 2.0 5, electrochemical 3, enzymatic 5, DropSynth 4, commercial benchtop 9. The mail-order commercial provider (Twist/IDT/GenScript) is scored TRL 9 as the screened baseline; it is not a benchtop approach and is not a separate row here.</w:t>
      </w:r>
    </w:p>
    <w:p>
      <w:pPr>
        <w:pStyle w:val="Heading2"/>
      </w:pPr>
      <w:r>
        <w:rPr>
          <w:color w:val="1F3A5F"/>
          <w:sz w:val="20"/>
        </w:rPr>
        <w:t>9. Conclusion</w:t>
      </w:r>
    </w:p>
    <w:p>
      <w:pPr>
        <w:spacing w:after="120"/>
      </w:pPr>
      <w:r>
        <w:rPr>
          <w:sz w:val="20"/>
        </w:rPr>
        <w:t>This TRI characterizes seven oligonucleotide-synthesis approaches under a governance transition from R0 (observed) to R1 (projected). Present-day accessibility: OpenIDS (DIY, ~$20K) and enzymatic services (~$300/synthesis) are the accessible routes; electrochemical (TRL 3) and DropSynth (TRL 4) are conditional-future; the enzymatic benchtop instrument is real but capital-expensive (~$292K). R0→R1 delta: if implemented as projected, on-device screening plus mandatory enforcement tightens oversight for device-based methods while supply-chain restriction stays ineffective. Durable architecture: device-level detection + mandatory provider/manufacturer screening + functional-SOC detection + international coordination. Attribution gap: no synthesis-method error-signature framework exists; Chapter 4 develops one.</w:t>
      </w:r>
    </w:p>
    <w:p>
      <w:pPr>
        <w:pStyle w:val="Heading2"/>
      </w:pPr>
      <w:r>
        <w:rPr>
          <w:color w:val="1F3A5F"/>
          <w:sz w:val="20"/>
        </w:rPr>
        <w:t>References</w:t>
      </w:r>
    </w:p>
    <w:p>
      <w:pPr>
        <w:spacing w:after="120"/>
      </w:pPr>
      <w:r>
        <w:rPr>
          <w:b/>
          <w:sz w:val="20"/>
        </w:rPr>
        <w:t>Peer-reviewed</w:t>
      </w:r>
    </w:p>
    <w:p>
      <w:pPr>
        <w:spacing w:after="120"/>
      </w:pPr>
      <w:r>
        <w:rPr>
          <w:sz w:val="20"/>
        </w:rPr>
        <w:t>Palluk, S., Arlow, D. H., de Rond, T., et al. (2018). De novo DNA synthesis using polymerase–nucleotide conjugates. Nature Biotechnology, 36(7), 645–650. https://doi.org/10.1038/nbt.4173</w:t>
      </w:r>
    </w:p>
    <w:p>
      <w:pPr>
        <w:spacing w:after="120"/>
      </w:pPr>
      <w:r>
        <w:rPr>
          <w:sz w:val="20"/>
        </w:rPr>
        <w:t>Kim, J., Kim, H., &amp; Bang, D. (2024). An open-source, 3D printed inkjet DNA synthesizer. Scientific Reports, 14, 3773. https://doi.org/10.1038/s41598-024-53944-x</w:t>
      </w:r>
    </w:p>
    <w:p>
      <w:pPr>
        <w:spacing w:after="120"/>
      </w:pPr>
      <w:r>
        <w:rPr>
          <w:sz w:val="20"/>
        </w:rPr>
        <w:t>Kim, J., Kim, H., &amp; Bang, D. (2025). OpenIDS2: a low-cost, 3D-printed, open-source platform for reproducible construction of DNA microarray synthesizers. PLOS ONE, 20, e0338478. https://doi.org/10.1371/journal.pone.0338478</w:t>
      </w:r>
    </w:p>
    <w:p>
      <w:pPr>
        <w:spacing w:after="120"/>
      </w:pPr>
      <w:r>
        <w:rPr>
          <w:sz w:val="20"/>
        </w:rPr>
        <w:t>Sidore, A. M., Plesa, C., Samson, J. A., Lubock, N. B., &amp; Kosuri, S. (2020). DropSynth 2.0: high-fidelity multiplexed gene synthesis in emulsions. Nucleic Acids Research, 48(16), e95. https://doi.org/10.1093/nar/gkaa600</w:t>
      </w:r>
    </w:p>
    <w:p>
      <w:pPr>
        <w:spacing w:after="120"/>
      </w:pPr>
      <w:r>
        <w:rPr>
          <w:color w:val="C00000"/>
          <w:sz w:val="20"/>
        </w:rPr>
        <w:t>Plesa, C., Sidore, A. M., Lubock, N. B., Zhang, D., &amp; Kosuri, S. (2018). Multiplexed gene synthesis in emulsions for exploring protein functional landscapes. Science, 359(6373), 343–347. https://doi.org/10.1126/science.aao5167</w:t>
      </w:r>
    </w:p>
    <w:p>
      <w:pPr>
        <w:spacing w:after="120"/>
      </w:pPr>
      <w:r>
        <w:rPr>
          <w:color w:val="C00000"/>
          <w:sz w:val="20"/>
        </w:rPr>
        <w:t>Somoza, M. M., et al. (2024). An open-source advanced maskless synthesizer for light-directed chemical synthesis of large nucleic acid libraries and microarrays. ChemRxiv. https://doi.org/10.26434/chemrxiv-2024-j4c90</w:t>
      </w:r>
    </w:p>
    <w:p>
      <w:pPr>
        <w:spacing w:after="120"/>
      </w:pPr>
      <w:r>
        <w:rPr>
          <w:color w:val="C00000"/>
          <w:sz w:val="20"/>
        </w:rPr>
        <w:t>Lietard, J., et al. (2021). Chemical and photochemical error rates in light-directed synthesis of complex DNA libraries. Nucleic Acids Research, 49(12), 6687–6701. https://doi.org/10.1093/nar/gkab505</w:t>
      </w:r>
    </w:p>
    <w:p>
      <w:pPr>
        <w:spacing w:after="120"/>
      </w:pPr>
      <w:r>
        <w:rPr>
          <w:color w:val="C00000"/>
          <w:sz w:val="20"/>
        </w:rPr>
        <w:t>Lausted, C., Dahl, T., Warren, C., et al. (2004). POSaM: a fast, flexible, open-source, inkjet oligonucleotide synthesizer and microarrayer. Genome Biology, 5(8), R58. https://doi.org/10.1186/gb-2004-5-8-r58</w:t>
      </w:r>
    </w:p>
    <w:p>
      <w:pPr>
        <w:spacing w:after="120"/>
      </w:pPr>
      <w:r>
        <w:rPr>
          <w:sz w:val="20"/>
        </w:rPr>
        <w:t>Xu, C., Ma, B., Gao, Z., Dong, X., Zhao, C., &amp; Liu, H. (2021). Electrochemical DNA synthesis and sequencing on a single electrode with scalability for integrated data storage. Science Advances, 7(46), eabk0100. https://doi.org/10.1126/sciadv.abk0100</w:t>
      </w:r>
    </w:p>
    <w:p>
      <w:pPr>
        <w:spacing w:after="120"/>
      </w:pPr>
      <w:r>
        <w:rPr>
          <w:sz w:val="20"/>
        </w:rPr>
        <w:t>Masaki, Y., Onishi, Y., &amp; Seio, K. (2022). Quantification of synthetic errors during chemical synthesis of DNA and its suppression by non-canonical nucleosides. Scientific Reports, 12, 12095. https://doi.org/10.1038/s41598-022-16222-2</w:t>
      </w:r>
    </w:p>
    <w:p>
      <w:pPr>
        <w:spacing w:after="120"/>
      </w:pPr>
      <w:r>
        <w:rPr>
          <w:color w:val="C00000"/>
          <w:sz w:val="20"/>
        </w:rPr>
        <w:t>Lee, H. H., Kalhor, R., Goela, N., Bolot, J., &amp; Church, G. M. (2019). Terminator-free template-independent enzymatic DNA synthesis for digital information storage. Nature Communications, 10, 2383. https://doi.org/10.1038/s41467-019-10258-1</w:t>
      </w:r>
    </w:p>
    <w:p>
      <w:pPr>
        <w:spacing w:after="120"/>
      </w:pPr>
      <w:r>
        <w:rPr>
          <w:color w:val="C00000"/>
          <w:sz w:val="20"/>
        </w:rPr>
        <w:t>Kosuri, S., &amp; Church, G. M. (2014). Large-scale de novo DNA synthesis: technologies and applications. Nature Methods, 11(5), 499–507. https://doi.org/10.1038/nmeth.2918</w:t>
      </w:r>
    </w:p>
    <w:p>
      <w:pPr>
        <w:spacing w:after="120"/>
      </w:pPr>
      <w:r>
        <w:rPr>
          <w:sz w:val="20"/>
        </w:rPr>
        <w:t>Sandahl, A. F., Nguyen, T. J. D., Hansen, R. A., Johansen, M. B., Skrydstrup, T., &amp; Gothelf, K. V. (2021). On-demand synthesis of phosphoramidites. Nature Communications, 12, 2760. https://doi.org/10.1038/s41467-021-22945-z</w:t>
      </w:r>
    </w:p>
    <w:p>
      <w:pPr>
        <w:spacing w:after="120"/>
      </w:pPr>
      <w:r>
        <w:rPr>
          <w:sz w:val="20"/>
        </w:rPr>
        <w:t>Wittmann, B. J., et al. (2025). Strengthening nucleic acid biosecurity screening against generative protein design tools. Science, 390(6768), 82–87. https://doi.org/10.1126/science.adu8578</w:t>
      </w:r>
    </w:p>
    <w:p>
      <w:pPr>
        <w:spacing w:after="120"/>
      </w:pPr>
      <w:r>
        <w:rPr>
          <w:sz w:val="20"/>
        </w:rPr>
        <w:t>Laird, T. S., et al. (2025). Inter-tool analysis of a NIST dataset for assessing baseline nucleic acid sequence screening. Applied Biosafety. https://doi.org/10.1177/15356760251401228</w:t>
      </w:r>
    </w:p>
    <w:p>
      <w:pPr>
        <w:spacing w:after="120"/>
      </w:pPr>
      <w:r>
        <w:rPr>
          <w:color w:val="C00000"/>
          <w:sz w:val="20"/>
        </w:rPr>
        <w:t>Romero, P. A., et al. (2025). OMEGA: pooled Golden-Gate gene assembly without beads or emulsion. bioRxiv (preprint — not yet peer-reviewed).</w:t>
      </w:r>
    </w:p>
    <w:p>
      <w:pPr>
        <w:spacing w:after="120"/>
      </w:pPr>
      <w:r>
        <w:rPr>
          <w:b/>
          <w:sz w:val="20"/>
        </w:rPr>
        <w:t>Policy &amp; grey literature</w:t>
      </w:r>
    </w:p>
    <w:p>
      <w:pPr>
        <w:spacing w:after="120"/>
      </w:pPr>
      <w:r>
        <w:rPr>
          <w:sz w:val="20"/>
        </w:rPr>
        <w:t>Executive Order 14292 (2025). Improving the Safety and Security of Biological Research. Federal Register, 90 FR 19611 (May 8, 2025).</w:t>
      </w:r>
    </w:p>
    <w:p>
      <w:pPr>
        <w:spacing w:after="120"/>
      </w:pPr>
      <w:r>
        <w:rPr>
          <w:sz w:val="20"/>
        </w:rPr>
        <w:t>U.S. Congress (2026). S. 3741, Biosecurity Modernization and Innovation Act of 2026, 119th Congress (Cotton, Klobuchar). https://www.congress.gov/bill/119th-congress/senate-bill/3741</w:t>
      </w:r>
    </w:p>
    <w:p>
      <w:pPr>
        <w:spacing w:after="120"/>
      </w:pPr>
      <w:r>
        <w:rPr>
          <w:sz w:val="20"/>
        </w:rPr>
        <w:t>OSTP (2024). Framework for Nucleic Acid Synthesis Screening. ASPR S3. https://aspr.hhs.gov/S3/</w:t>
      </w:r>
    </w:p>
    <w:p>
      <w:pPr>
        <w:spacing w:after="120"/>
      </w:pPr>
      <w:r>
        <w:rPr>
          <w:sz w:val="20"/>
        </w:rPr>
        <w:t>International Gene Synthesis Consortium (2024). Harmonized Screening Protocol v3.0. https://genesynthesisconsortium.org/</w:t>
      </w:r>
    </w:p>
    <w:p>
      <w:pPr>
        <w:spacing w:after="120"/>
      </w:pPr>
      <w:r>
        <w:rPr>
          <w:sz w:val="20"/>
        </w:rPr>
        <w:t>Langenkamp, M. / Institute for Progress (2024). Securing Benchtop DNA Synthesizers. https://ifp.org/securing-benchtop-dna-synthesizers/</w:t>
      </w:r>
    </w:p>
    <w:p>
      <w:pPr>
        <w:spacing w:after="120"/>
      </w:pPr>
      <w:r>
        <w:rPr>
          <w:sz w:val="20"/>
        </w:rPr>
        <w:t>NTI | bio (2023). Benchtop DNA Synthesis Devices: Capabilities, Biosecurity Implications, and Governance.</w:t>
      </w:r>
    </w:p>
    <w:p>
      <w:pPr>
        <w:spacing w:after="120"/>
      </w:pPr>
      <w:r>
        <w:rPr>
          <w:b/>
          <w:sz w:val="20"/>
        </w:rPr>
        <w:t>Industry &amp; cost data</w:t>
      </w:r>
    </w:p>
    <w:p>
      <w:pPr>
        <w:spacing w:after="120"/>
      </w:pPr>
      <w:r>
        <w:rPr>
          <w:sz w:val="20"/>
        </w:rPr>
        <w:t>Ansa Biotechnologies (2025). Clonal DNA. https://ansabio.com/  •  DNA Script (2025). SYNTAX System. https://www.dnascript.com/products/syntax/  •  Field, J. / Carlson, R. DNA synthesis cost tracking. http://www.synthesis.cc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