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303a200536607785413581330dd20522d65bd6"/>
      <w:r>
        <w:t xml:space="preserve">CHAPTER 2: REGIME-CONDITIONAL CONTROL ASSESSMENT</w:t>
      </w:r>
      <w:bookmarkEnd w:id="20"/>
    </w:p>
    <w:p>
      <w:pPr>
        <w:pStyle w:val="Heading2"/>
      </w:pPr>
      <w:bookmarkStart w:id="21" w:name="Xade0904788a4a03b92af28a78f1205f8bfb5def"/>
      <w:r>
        <w:t xml:space="preserve">Synthesis Screening Under Device Proliferation — Control-Point Robustness and Policy Durability</w:t>
      </w:r>
      <w:bookmarkEnd w:id="21"/>
    </w:p>
    <w:p>
      <w:pPr>
        <w:pStyle w:val="FirstParagraph"/>
      </w:pPr>
      <w:r>
        <w:rPr>
          <w:i/>
        </w:rPr>
        <w:t xml:space="preserve">Draft — corrected July 2026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Synthesis-level control mechanisms under R0 (status quo) and R1 (projected mandatory / on-device) regimes.</w:t>
      </w:r>
      <w:r>
        <w:t xml:space="preserve"> </w:t>
      </w:r>
      <w:r>
        <w:rPr>
          <w:b/>
        </w:rPr>
        <w:t xml:space="preserve">Methodology:</w:t>
      </w:r>
      <w:r>
        <w:t xml:space="preserve"> </w:t>
      </w:r>
      <w:r>
        <w:t xml:space="preserve">Substitution tests, sensitivity analysis, scenario modeling, control-architecture assessment.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This chapter assesses the durability of synthesis-screening and governance mechanisms across two regimes: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R0 (status quo, October 2026):</w:t>
      </w:r>
      <w:r>
        <w:t xml:space="preserve"> </w:t>
      </w:r>
      <w:r>
        <w:t xml:space="preserve">voluntary screening; no enforced federal mandate; weak enforcement.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R1 (projected, late 2026+):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composite projection</w:t>
      </w:r>
      <w:r>
        <w:t xml:space="preserve"> </w:t>
      </w:r>
      <w:r>
        <w:t xml:space="preserve">— the OSTP framework’s technical screening spec (mandatory 50-nt window, functional SOC definitions, on-device/manufacturer expectations) given legal force by S. 3741 (Commerce regulation) and/or federal funding conditions. Under R1 the control question shifts: with commercial providers and benchtop manufacturers inside the screening perimeter, the residual exposure is</w:t>
      </w:r>
      <w:r>
        <w:t xml:space="preserve"> </w:t>
      </w:r>
      <w:r>
        <w:rPr>
          <w:b/>
        </w:rPr>
        <w:t xml:space="preserve">DIY / in-house synthesis</w:t>
      </w:r>
      <w:r>
        <w:t xml:space="preserve"> </w:t>
      </w:r>
      <w:r>
        <w:t xml:space="preserve">reached by neither a provider nor a device mandate — the control gap this chapter tracks.</w:t>
      </w:r>
    </w:p>
    <w:p>
      <w:pPr>
        <w:pStyle w:val="FirstParagraph"/>
      </w:pPr>
      <w:r>
        <w:rPr>
          <w:b/>
        </w:rPr>
        <w:t xml:space="preserve">Key finding.</w:t>
      </w:r>
      <w:r>
        <w:t xml:space="preserve"> </w:t>
      </w:r>
      <w:r>
        <w:t xml:space="preserve">R0 control architecture is fragile across all levers (supply-chain, provider-level, voluntary screening). If implemented, R1 is substantially more robust at device-level screening and mandatory provider compliance, but retains residual vulnerabilities — chiefly reagent/solvent substitutability, ambiguous status of DIY systems, legacy devices, and extra-jurisdictional providers.</w:t>
      </w:r>
    </w:p>
    <w:p>
      <w:pPr>
        <w:pStyle w:val="BodyText"/>
      </w:pPr>
      <w:r>
        <w:rPr>
          <w:b/>
        </w:rPr>
        <w:t xml:space="preserve">Policy implication.</w:t>
      </w:r>
      <w:r>
        <w:t xml:space="preserve"> </w:t>
      </w:r>
      <w:r>
        <w:t xml:space="preserve">S. 3741 and the (paused) OSTP framework revision together would create more durable control than supply-chain restriction can achieve — but supply-chain restriction should not be a primary lever, because key inputs are substitutable or commodity.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1241487cf604adffa2f793a4d25ab5eab5570b"/>
      <w:r>
        <w:t xml:space="preserve">1. REGIME R0 CONTROL ARCHITECTURE (OCTOBER 2026 STATUS QUO)</w:t>
      </w:r>
      <w:bookmarkEnd w:id="23"/>
    </w:p>
    <w:p>
      <w:pPr>
        <w:pStyle w:val="Heading3"/>
      </w:pPr>
      <w:bookmarkStart w:id="24" w:name="r0-policy-baseline"/>
      <w:r>
        <w:t xml:space="preserve">1.1 R0 Policy Baseline</w:t>
      </w:r>
      <w:bookmarkEnd w:id="24"/>
    </w:p>
    <w:p>
      <w:pPr>
        <w:pStyle w:val="FirstParagraph"/>
      </w:pPr>
      <w:r>
        <w:t xml:space="preserve">The OSTP Framework for Nucleic Acid Synthesis Screening (April 2024) was issued under</w:t>
      </w:r>
      <w:r>
        <w:t xml:space="preserve"> </w:t>
      </w:r>
      <w:r>
        <w:rPr>
          <w:b/>
        </w:rPr>
        <w:t xml:space="preserve">EO 14110</w:t>
      </w:r>
      <w:r>
        <w:t xml:space="preserve"> </w:t>
      </w:r>
      <w:r>
        <w:t xml:space="preserve">(§4.4(b)(i), Oct 30, 2023). Its funding requirement took effect for federally funded purchases on or after</w:t>
      </w:r>
      <w:r>
        <w:t xml:space="preserve"> </w:t>
      </w:r>
      <w:r>
        <w:rPr>
          <w:b/>
        </w:rPr>
        <w:t xml:space="preserve">April 26, 2025</w:t>
      </w:r>
      <w:r>
        <w:t xml:space="preserve"> </w:t>
      </w:r>
      <w:r>
        <w:t xml:space="preserve">(NIH NOT-OD-25-012).</w:t>
      </w:r>
      <w:r>
        <w:t xml:space="preserve"> </w:t>
      </w:r>
      <w:r>
        <w:rPr>
          <w:b/>
        </w:rPr>
        <w:t xml:space="preserve">EO 14292</w:t>
      </w:r>
      <w:r>
        <w:t xml:space="preserve"> </w:t>
      </w:r>
      <w:r>
        <w:t xml:space="preserve">(</w:t>
      </w:r>
      <w:r>
        <w:rPr>
          <w:i/>
        </w:rPr>
        <w:t xml:space="preserve">Improving the Safety and Security of Biological Research</w:t>
      </w:r>
      <w:r>
        <w:t xml:space="preserve">, May 5, 2025) then directed federal agencies to</w:t>
      </w:r>
      <w:r>
        <w:t xml:space="preserve"> </w:t>
      </w:r>
      <w:r>
        <w:rPr>
          <w:b/>
        </w:rPr>
        <w:t xml:space="preserve">revise or replace</w:t>
      </w:r>
      <w:r>
        <w:t xml:space="preserve"> </w:t>
      </w:r>
      <w:r>
        <w:t xml:space="preserve">the framework within 90 days (deadline Aug 3, 2025); as of July 2026 no revised framework has been published, leaving the framework’s enforcement status uncertain. The</w:t>
      </w:r>
      <w:r>
        <w:t xml:space="preserve"> </w:t>
      </w:r>
      <w:r>
        <w:rPr>
          <w:b/>
        </w:rPr>
        <w:t xml:space="preserve">IGSC Harmonized Screening Protocol v3.0</w:t>
      </w:r>
      <w:r>
        <w:t xml:space="preserve"> </w:t>
      </w:r>
      <w:r>
        <w:t xml:space="preserve">(September 2024) operates voluntarily. No mandatory on-device screening requirement is in force for benchtop manufacturers, and no bulk-reagent monitoring exists.</w:t>
      </w:r>
    </w:p>
    <w:p>
      <w:pPr>
        <w:pStyle w:val="BodyText"/>
      </w:pPr>
      <w:r>
        <w:rPr>
          <w:b/>
        </w:rPr>
        <w:t xml:space="preserve">Governing documents (R0):</w:t>
      </w:r>
      <w:r>
        <w:t xml:space="preserve"> </w:t>
      </w:r>
      <w:r>
        <w:t xml:space="preserve">- OSTP Framework for Nucleic Acid Synthesis Screening (April 2024) — funding requirement effective April 26, 2025; paused/under revision per EO 14292.</w:t>
      </w:r>
      <w:r>
        <w:t xml:space="preserve"> </w:t>
      </w:r>
      <w:r>
        <w:t xml:space="preserve">- IGSC Harmonized Screening Protocol v3.0 (September 2024) — voluntary.</w:t>
      </w:r>
      <w:r>
        <w:t xml:space="preserve"> </w:t>
      </w:r>
      <w:r>
        <w:t xml:space="preserve">- HHS Screening Framework Guidance for Providers and Users of Synthetic Nucleic Acids (October 2023) — recommendations.</w:t>
      </w:r>
      <w:r>
        <w:t xml:space="preserve"> </w:t>
      </w:r>
      <w:r>
        <w:t xml:space="preserve">- NIH NOT-OD-25-012 — procurement condition (federally funded purchasers only).</w:t>
      </w:r>
    </w:p>
    <w:p>
      <w:pPr>
        <w:pStyle w:val="Heading3"/>
      </w:pPr>
      <w:bookmarkStart w:id="25" w:name="r0-control-levers-4"/>
      <w:r>
        <w:t xml:space="preserve">1.2 R0 Control Levers (4)</w:t>
      </w:r>
      <w:bookmarkEnd w:id="25"/>
    </w:p>
    <w:p>
      <w:pPr>
        <w:pStyle w:val="FirstParagraph"/>
      </w:pPr>
      <w:r>
        <w:rPr>
          <w:b/>
        </w:rPr>
        <w:t xml:space="preserve">Lever 1: Provider-level screening (IGSC members).</w:t>
      </w:r>
      <w:r>
        <w:t xml:space="preserve"> </w:t>
      </w:r>
      <w:r>
        <w:t xml:space="preserve">IGSC v3.0 has members screen orders against a Regulated Pathogen Database (RPD; managed in a public GitHub repository). The historical minimum was a</w:t>
      </w:r>
      <w:r>
        <w:t xml:space="preserve"> </w:t>
      </w:r>
      <w:r>
        <w:rPr>
          <w:b/>
        </w:rPr>
        <w:t xml:space="preserve">200-nucleotide</w:t>
      </w:r>
      <w:r>
        <w:t xml:space="preserve"> </w:t>
      </w:r>
      <w:r>
        <w:t xml:space="preserve">window;</w:t>
      </w:r>
      <w:r>
        <w:t xml:space="preserve"> </w:t>
      </w:r>
      <w:r>
        <w:rPr>
          <w:b/>
        </w:rPr>
        <w:t xml:space="preserve">IGSC v3.0 requires members to transition to a 50-bp threshold by October 24, 2026</w:t>
      </w:r>
      <w:r>
        <w:t xml:space="preserve"> </w:t>
      </w:r>
      <w:r>
        <w:t xml:space="preserve">to conform to the OSTP framework. Members (e.g., Twist Bioscience, IDT, GenScript, Eurofins, DNA Script, Ansa) adopt this voluntarily.</w:t>
      </w:r>
      <w:r>
        <w:t xml:space="preserve"> </w:t>
      </w:r>
      <w:r>
        <w:rPr>
          <w:b/>
        </w:rPr>
        <w:t xml:space="preserve">R0 durability: LOW.</w:t>
      </w:r>
      <w:r>
        <w:t xml:space="preserve"> </w:t>
      </w:r>
      <w:r>
        <w:t xml:space="preserve">Non-members are unbound; implementation varies across members (a provider survey found only some members using 200 nt as their floor, others screening everything or at 20–60 nt); orders can be routed to providers outside IGSC entirely. No federal mechanism compels participation.</w:t>
      </w:r>
    </w:p>
    <w:p>
      <w:pPr>
        <w:pStyle w:val="BodyText"/>
      </w:pPr>
      <w:r>
        <w:rPr>
          <w:b/>
        </w:rPr>
        <w:t xml:space="preserve">Lever 2: Printhead sourcing (supply-chain chokepoint).</w:t>
      </w:r>
      <w:r>
        <w:t xml:space="preserve"> </w:t>
      </w:r>
      <w:r>
        <w:t xml:space="preserve">Industrial inkjet printheads (multiple suppliers, several countries) are standard components with many non-synthesis uses (textile, ceramic, 3D printing).</w:t>
      </w:r>
      <w:r>
        <w:t xml:space="preserve"> </w:t>
      </w:r>
      <w:r>
        <w:rPr>
          <w:b/>
        </w:rPr>
        <w:t xml:space="preserve">R0 durability: VERY LOW.</w:t>
      </w:r>
      <w:r>
        <w:t xml:space="preserve"> </w:t>
      </w:r>
      <w:r>
        <w:t xml:space="preserve">No geographic or legal chokepoint; commodity cost; no export-control or licensing regime; non-synthesis demand precludes synthesis-specific monitoring.</w:t>
      </w:r>
    </w:p>
    <w:p>
      <w:pPr>
        <w:pStyle w:val="BodyText"/>
      </w:pPr>
      <w:r>
        <w:rPr>
          <w:b/>
        </w:rPr>
        <w:t xml:space="preserve">Lever 3: Phosphoramidite supply (reagent chokepoint).</w:t>
      </w:r>
      <w:r>
        <w:t xml:space="preserve"> </w:t>
      </w:r>
      <w:r>
        <w:t xml:space="preserve">Standard phosphoramidites are commodity research chemicals from multiple independent suppliers globally (Glen Research, ChemGenes, LGC Biosearch, Sigma/Millipore).</w:t>
      </w:r>
      <w:r>
        <w:t xml:space="preserve"> </w:t>
      </w:r>
      <w:r>
        <w:rPr>
          <w:b/>
        </w:rPr>
        <w:t xml:space="preserve">R0 durability: VERY LOW.</w:t>
      </w:r>
      <w:r>
        <w:t xml:space="preserve"> </w:t>
      </w:r>
      <w:r>
        <w:t xml:space="preserve">No single chokepoint; competitive unregulated market; alternative chemistries (enzymatic, electrochemical) reduce dependence.</w:t>
      </w:r>
    </w:p>
    <w:p>
      <w:pPr>
        <w:pStyle w:val="BodyText"/>
      </w:pPr>
      <w:r>
        <w:rPr>
          <w:b/>
        </w:rPr>
        <w:t xml:space="preserve">Lever 4: Solvent supply (acetonitrile → propylene carbonate).</w:t>
      </w:r>
      <w:r>
        <w:t xml:space="preserve"> </w:t>
      </w:r>
      <w:r>
        <w:t xml:space="preserve">Kim et al. (2024) demonstrate OpenIDS operating with propylene carbonate — a GRAS food additive — as a substitute for acetonitrile.</w:t>
      </w:r>
      <w:r>
        <w:t xml:space="preserve"> </w:t>
      </w:r>
      <w:r>
        <w:rPr>
          <w:b/>
        </w:rPr>
        <w:t xml:space="preserve">R0 durability: VERY LOW.</w:t>
      </w:r>
      <w:r>
        <w:t xml:space="preserve"> </w:t>
      </w:r>
      <w:r>
        <w:t xml:space="preserve">Propylene carbonate is an unregulated global commodity; other aprotic-solvent substitutes exist.</w:t>
      </w:r>
    </w:p>
    <w:p>
      <w:pPr>
        <w:pStyle w:val="Heading3"/>
      </w:pPr>
      <w:bookmarkStart w:id="26" w:name="X2d86939165f2a991755bb8b538e405b3b80aa87"/>
      <w:r>
        <w:t xml:space="preserve">1.3 R0 Residual Vulnerabilities (by approach — analytical)</w:t>
      </w:r>
      <w:bookmarkEnd w:id="26"/>
    </w:p>
    <w:p>
      <w:pPr>
        <w:pStyle w:val="FirstParagraph"/>
      </w:pPr>
      <w:r>
        <w:rPr>
          <w:i/>
        </w:rPr>
        <w:t xml:space="preserve">Stated as the governance-relevant vulnerability, not as procedures.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OpenIDS (inkjet):</w:t>
      </w:r>
      <w:r>
        <w:t xml:space="preserve"> </w:t>
      </w:r>
      <w:r>
        <w:t xml:space="preserve">physically visible but subject to no R0 registration or monitoring; IGSC screening reaches only orders placed with participating providers, so a DIY device outside that channel falls outside every R0 lever. Detectability (R0):</w:t>
      </w:r>
      <w:r>
        <w:t xml:space="preserve"> </w:t>
      </w:r>
      <w:r>
        <w:rPr>
          <w:b/>
        </w:rPr>
        <w:t xml:space="preserve">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MAS 2.0 (photolithographic):</w:t>
      </w:r>
      <w:r>
        <w:t xml:space="preserve"> </w:t>
      </w:r>
      <w:r>
        <w:t xml:space="preserve">an open-source maskless array synthesizer; a visible bench build but outside any R0 registration, and self-run library-grade output is not synthesis-screened. Same DIY blind spot as OpenIDS. Detectability (R0):</w:t>
      </w:r>
      <w:r>
        <w:t xml:space="preserve"> </w:t>
      </w:r>
      <w:r>
        <w:rPr>
          <w:b/>
        </w:rPr>
        <w:t xml:space="preserve">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Electrochemical:</w:t>
      </w:r>
      <w:r>
        <w:t xml:space="preserve"> </w:t>
      </w:r>
      <w:r>
        <w:t xml:space="preserve">at TRL 3 and resembling generic electrochemistry apparatus, presents no distinctive equipment/procurement signature. Detectability (R0):</w:t>
      </w:r>
      <w:r>
        <w:t xml:space="preserve"> </w:t>
      </w:r>
      <w:r>
        <w:rPr>
          <w:b/>
        </w:rPr>
        <w:t xml:space="preserve">Very Low</w:t>
      </w:r>
      <w:r>
        <w:t xml:space="preserve"> </w:t>
      </w:r>
      <w:r>
        <w:t xml:space="preserve">— but this is a conditional-future concern (immature; no independent builds).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Enzymatic (service):</w:t>
      </w:r>
      <w:r>
        <w:t xml:space="preserve"> </w:t>
      </w:r>
      <w:r>
        <w:t xml:space="preserve">constrained at the provider. Major providers (Ansa, DNA Script) screen voluntarily; no significant unscreened enzymatic-service market identified as of July 2026. Residual: extra-jurisdictional providers. Detectability (R0):</w:t>
      </w:r>
      <w:r>
        <w:t xml:space="preserve"> </w:t>
      </w:r>
      <w:r>
        <w:rPr>
          <w:b/>
        </w:rPr>
        <w:t xml:space="preserve">Low–Medium.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Enzymatic (benchtop):</w:t>
      </w:r>
      <w:r>
        <w:t xml:space="preserve"> </w:t>
      </w:r>
      <w:r>
        <w:t xml:space="preserve">unmonitored after purchase under R0 (no on-device mandate); private synthesis leaves no external trace. Detectability (R0):</w:t>
      </w:r>
      <w:r>
        <w:t xml:space="preserve"> </w:t>
      </w:r>
      <w:r>
        <w:rPr>
          <w:b/>
        </w:rPr>
        <w:t xml:space="preserve">Very 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DropSynth:</w:t>
      </w:r>
      <w:r>
        <w:t xml:space="preserve"> </w:t>
      </w:r>
      <w:r>
        <w:t xml:space="preserve">an</w:t>
      </w:r>
      <w:r>
        <w:t xml:space="preserve"> </w:t>
      </w:r>
      <w:r>
        <w:rPr>
          <w:i/>
        </w:rPr>
        <w:t xml:space="preserve">assembly</w:t>
      </w:r>
      <w:r>
        <w:t xml:space="preserve"> </w:t>
      </w:r>
      <w:r>
        <w:t xml:space="preserve">method (vortex emulsion; no microfluidic fabrication, no cleanroom) that stitches a</w:t>
      </w:r>
      <w:r>
        <w:t xml:space="preserve"> </w:t>
      </w:r>
      <w:r>
        <w:rPr>
          <w:b/>
        </w:rPr>
        <w:t xml:space="preserve">commercial microarray oligo pool</w:t>
      </w:r>
      <w:r>
        <w:t xml:space="preserve"> </w:t>
      </w:r>
      <w:r>
        <w:t xml:space="preserve">into genes — so it</w:t>
      </w:r>
      <w:r>
        <w:t xml:space="preserve"> </w:t>
      </w:r>
      <w:r>
        <w:rPr>
          <w:b/>
        </w:rPr>
        <w:t xml:space="preserve">inherits the screening perimeter</w:t>
      </w:r>
      <w:r>
        <w:t xml:space="preserve"> </w:t>
      </w:r>
      <w:r>
        <w:t xml:space="preserve">through its provider-supplied inputs. Barrier is molecular-biology expertise, not equipment. Detectability (R0):</w:t>
      </w:r>
      <w:r>
        <w:t xml:space="preserve"> </w:t>
      </w:r>
      <w:r>
        <w:rPr>
          <w:b/>
        </w:rPr>
        <w:t xml:space="preserve">Low–Medium</w:t>
      </w:r>
      <w:r>
        <w:t xml:space="preserve"> </w:t>
      </w:r>
      <w:r>
        <w:t xml:space="preserve">(inputs are provider-screenable; assembly itself is untracked).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Commercial benchtop:</w:t>
      </w:r>
      <w:r>
        <w:t xml:space="preserve"> </w:t>
      </w:r>
      <w:r>
        <w:t xml:space="preserve">manufacturer/reseller customer vetting is voluntary and uneven under R0; no on-device detection. Detectability (R0):</w:t>
      </w:r>
      <w:r>
        <w:t xml:space="preserve"> </w:t>
      </w:r>
      <w:r>
        <w:rPr>
          <w:b/>
        </w:rPr>
        <w:t xml:space="preserve">Low–Medium.</w:t>
      </w:r>
    </w:p>
    <w:p>
      <w:pPr>
        <w:pStyle w:val="Heading3"/>
      </w:pPr>
      <w:bookmarkStart w:id="27" w:name="r0-summary-fragile-across-all-levers"/>
      <w:r>
        <w:t xml:space="preserve">1.4 R0 Summary: fragile across all levers</w:t>
      </w:r>
      <w:bookmarkEnd w:id="2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 lever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Enforcer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screening</w:t>
            </w:r>
          </w:p>
        </w:tc>
        <w:tc>
          <w:p>
            <w:pPr>
              <w:pStyle w:val="Compact"/>
              <w:jc w:val="left"/>
            </w:pPr>
            <w:r>
              <w:t xml:space="preserve">IGSC v3.0 (voluntary)</w:t>
            </w:r>
          </w:p>
        </w:tc>
        <w:tc>
          <w:p>
            <w:pPr>
              <w:pStyle w:val="Compact"/>
              <w:jc w:val="left"/>
            </w:pPr>
            <w:r>
              <w:t xml:space="preserve">Self-regulatory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Non-members / other providers outside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Printhead sourcing</w:t>
            </w:r>
          </w:p>
        </w:tc>
        <w:tc>
          <w:p>
            <w:pPr>
              <w:pStyle w:val="Compact"/>
              <w:jc w:val="left"/>
            </w:pPr>
            <w:r>
              <w:t xml:space="preserve">Availability monitoring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Many suppliers; non-synthesis uses; no oversight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Phosphoramidite supply</w:t>
            </w:r>
          </w:p>
        </w:tc>
        <w:tc>
          <w:p>
            <w:pPr>
              <w:pStyle w:val="Compact"/>
              <w:jc w:val="left"/>
            </w:pPr>
            <w:r>
              <w:t xml:space="preserve">Reagent restriction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Multiple global suppliers; no chokepoint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Solvent (acetonitrile)</w:t>
            </w:r>
          </w:p>
        </w:tc>
        <w:tc>
          <w:p>
            <w:pPr>
              <w:pStyle w:val="Compact"/>
              <w:jc w:val="left"/>
            </w:pPr>
            <w:r>
              <w:t xml:space="preserve">Solvent restriction</w:t>
            </w:r>
          </w:p>
        </w:tc>
        <w:tc>
          <w:p>
            <w:pPr>
              <w:pStyle w:val="Compact"/>
              <w:jc w:val="left"/>
            </w:pPr>
            <w:r>
              <w:t xml:space="preserve">EPA (hazmat only)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GRAS substitute (propylene carbonate) available</w:t>
            </w:r>
          </w:p>
        </w:tc>
      </w:tr>
    </w:tbl>
    <w:p>
      <w:pPr>
        <w:pStyle w:val="BodyText"/>
      </w:pPr>
      <w:r>
        <w:rPr>
          <w:b/>
        </w:rPr>
        <w:t xml:space="preserve">Conclusion.</w:t>
      </w:r>
      <w:r>
        <w:t xml:space="preserve"> </w:t>
      </w:r>
      <w:r>
        <w:t xml:space="preserve">No single R0 lever is durable; restricting one input allows substitution of another. Supply-chain restriction is not a durable control mechanism under R0.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514e026c5b5c704332463c73e15d6bc0aac5baf"/>
      <w:r>
        <w:t xml:space="preserve">2. REGIME R1 CONTROL ARCHITECTURE (LATE 2026+, PROJECTED)</w:t>
      </w:r>
      <w:bookmarkEnd w:id="28"/>
    </w:p>
    <w:p>
      <w:pPr>
        <w:pStyle w:val="Heading3"/>
      </w:pPr>
      <w:bookmarkStart w:id="29" w:name="r1-policy-baseline"/>
      <w:r>
        <w:t xml:space="preserve">2.1 R1 Policy Baseline</w:t>
      </w:r>
      <w:bookmarkEnd w:id="29"/>
    </w:p>
    <w:p>
      <w:pPr>
        <w:pStyle w:val="FirstParagraph"/>
      </w:pPr>
      <w:r>
        <w:t xml:space="preserve">R1 is a</w:t>
      </w:r>
      <w:r>
        <w:t xml:space="preserve"> </w:t>
      </w:r>
      <w:r>
        <w:rPr>
          <w:b/>
        </w:rPr>
        <w:t xml:space="preserve">projected</w:t>
      </w:r>
      <w:r>
        <w:t xml:space="preserve"> </w:t>
      </w:r>
      <w:r>
        <w:t xml:space="preserve">regime assembled from</w:t>
      </w:r>
      <w:r>
        <w:t xml:space="preserve"> </w:t>
      </w:r>
      <w:r>
        <w:rPr>
          <w:b/>
        </w:rPr>
        <w:t xml:space="preserve">two distinct instruments that must be kept separate</w:t>
      </w:r>
      <w:r>
        <w:t xml:space="preserve"> </w:t>
      </w:r>
      <w:r>
        <w:t xml:space="preserve">(their conflation was an error in earlier drafts):</w:t>
      </w:r>
    </w:p>
    <w:p>
      <w:pPr>
        <w:pStyle w:val="BodyText"/>
      </w:pPr>
      <w:r>
        <w:rPr>
          <w:b/>
        </w:rPr>
        <w:t xml:space="preserve">(A) The OSTP Framework revision — the technical screening specification.</w:t>
      </w:r>
      <w:r>
        <w:t xml:space="preserve"> </w:t>
      </w:r>
      <w:r>
        <w:t xml:space="preserve">The framework is where the screening</w:t>
      </w:r>
      <w:r>
        <w:t xml:space="preserve"> </w:t>
      </w:r>
      <w:r>
        <w:rPr>
          <w:i/>
        </w:rPr>
        <w:t xml:space="preserve">mechanics</w:t>
      </w:r>
      <w:r>
        <w:t xml:space="preserve"> </w:t>
      </w:r>
      <w:r>
        <w:t xml:space="preserve">live. Its scheduled tightening — a</w:t>
      </w:r>
      <w:r>
        <w:t xml:space="preserve"> </w:t>
      </w:r>
      <w:r>
        <w:rPr>
          <w:b/>
        </w:rPr>
        <w:t xml:space="preserve">200 → 50-nucleotide</w:t>
      </w:r>
      <w:r>
        <w:t xml:space="preserve"> </w:t>
      </w:r>
      <w:r>
        <w:t xml:space="preserve">window and an</w:t>
      </w:r>
      <w:r>
        <w:t xml:space="preserve"> </w:t>
      </w:r>
      <w:r>
        <w:rPr>
          <w:b/>
        </w:rPr>
        <w:t xml:space="preserve">expanded, functional SOC</w:t>
      </w:r>
      <w:r>
        <w:t xml:space="preserve"> </w:t>
      </w:r>
      <w:r>
        <w:t xml:space="preserve">definition (sequences that contribute to pathogenicity/toxicity,</w:t>
      </w:r>
      <w:r>
        <w:t xml:space="preserve"> </w:t>
      </w:r>
      <w:r>
        <w:rPr>
          <w:i/>
        </w:rPr>
        <w:t xml:space="preserve">including</w:t>
      </w:r>
      <w:r>
        <w:t xml:space="preserve"> </w:t>
      </w:r>
      <w:r>
        <w:t xml:space="preserve">those from unregulated agents) — is dated</w:t>
      </w:r>
      <w:r>
        <w:t xml:space="preserve"> </w:t>
      </w:r>
      <w:r>
        <w:rPr>
          <w:b/>
        </w:rPr>
        <w:t xml:space="preserve">October 13, 2026</w:t>
      </w:r>
      <w:r>
        <w:t xml:space="preserve"> </w:t>
      </w:r>
      <w:r>
        <w:t xml:space="preserve">(three years after the October 2023 HHS Guidance), with IGSC members required to align by</w:t>
      </w:r>
      <w:r>
        <w:t xml:space="preserve"> </w:t>
      </w:r>
      <w:r>
        <w:rPr>
          <w:b/>
        </w:rPr>
        <w:t xml:space="preserve">October 24, 2026</w:t>
      </w:r>
      <w:r>
        <w:t xml:space="preserve"> </w:t>
      </w:r>
      <w:r>
        <w:t xml:space="preserve">(IGSC v3.0).</w:t>
      </w:r>
      <w:r>
        <w:t xml:space="preserve"> </w:t>
      </w:r>
      <w:r>
        <w:rPr>
          <w:b/>
        </w:rPr>
        <w:t xml:space="preserve">The framework’s enforcement is via funding/procurement conditions:</w:t>
      </w:r>
      <w:r>
        <w:t xml:space="preserve"> </w:t>
      </w:r>
      <w:r>
        <w:t xml:space="preserve">federal funding agencies require federally funded purchasers to buy only from providers/manufacturers adhering to the framework (NIH NOT-OD-25-012; parallel DOE Financial Assistance Letter). EO 14292 (May 5, 2025) paused the framework and directed revision within 90 days (deadline Aug 3, 2025);</w:t>
      </w:r>
      <w:r>
        <w:t xml:space="preserve"> </w:t>
      </w:r>
      <w:r>
        <w:rPr>
          <w:b/>
        </w:rPr>
        <w:t xml:space="preserve">as of July 2026 no revised framework is published</w:t>
      </w:r>
      <w:r>
        <w:t xml:space="preserve">, so the October 2026 milestone is documented but its on-schedule effect is uncertain.</w:t>
      </w:r>
    </w:p>
    <w:p>
      <w:pPr>
        <w:pStyle w:val="BodyText"/>
      </w:pPr>
      <w:r>
        <w:rPr>
          <w:b/>
        </w:rPr>
        <w:t xml:space="preserve">(B) S. 3741, the</w:t>
      </w:r>
      <w:r>
        <w:rPr>
          <w:b/>
        </w:rPr>
        <w:t xml:space="preserve"> </w:t>
      </w:r>
      <w:r>
        <w:rPr>
          <w:i/>
          <w:b/>
        </w:rPr>
        <w:t xml:space="preserve">Biosecurity Modernization and Innovation Act of 2026</w:t>
      </w:r>
      <w:r>
        <w:rPr>
          <w:b/>
        </w:rPr>
        <w:t xml:space="preserve"> </w:t>
      </w:r>
      <w:r>
        <w:rPr>
          <w:b/>
        </w:rPr>
        <w:t xml:space="preserve">— the legislative vehicle.</w:t>
      </w:r>
      <w:r>
        <w:t xml:space="preserve"> </w:t>
      </w:r>
      <w:r>
        <w:t xml:space="preserve">Introduced January 29, 2026 (Cotton, Klobuchar; referred to Senate Commerce). What it</w:t>
      </w:r>
      <w:r>
        <w:t xml:space="preserve"> </w:t>
      </w:r>
      <w:r>
        <w:rPr>
          <w:i/>
        </w:rPr>
        <w:t xml:space="preserve">actually</w:t>
      </w:r>
      <w:r>
        <w:t xml:space="preserve"> </w:t>
      </w:r>
      <w:r>
        <w:t xml:space="preserve">does: directs the</w:t>
      </w:r>
      <w:r>
        <w:t xml:space="preserve"> </w:t>
      </w:r>
      <w:r>
        <w:rPr>
          <w:b/>
        </w:rPr>
        <w:t xml:space="preserve">Secretary of Commerce</w:t>
      </w:r>
      <w:r>
        <w:t xml:space="preserve"> </w:t>
      </w:r>
      <w:r>
        <w:t xml:space="preserve">to promulgate regulations requiring gene-synthesis providers to screen</w:t>
      </w:r>
      <w:r>
        <w:t xml:space="preserve"> </w:t>
      </w:r>
      <w:r>
        <w:rPr>
          <w:b/>
        </w:rPr>
        <w:t xml:space="preserve">orders and customers</w:t>
      </w:r>
      <w:r>
        <w:t xml:space="preserve">; establishes a</w:t>
      </w:r>
      <w:r>
        <w:t xml:space="preserve"> </w:t>
      </w:r>
      <w:r>
        <w:rPr>
          <w:b/>
        </w:rPr>
        <w:t xml:space="preserve">biotechnology governance sandbox at NIST</w:t>
      </w:r>
      <w:r>
        <w:t xml:space="preserve">; requires a 90-day White House assessment of federal biosecurity oversight. Its enforcement vehicle is</w:t>
      </w:r>
      <w:r>
        <w:t xml:space="preserve"> </w:t>
      </w:r>
      <w:r>
        <w:rPr>
          <w:b/>
        </w:rPr>
        <w:t xml:space="preserve">Commerce regulation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funding/procurement conditions and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FDA device regulation — and the bill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itself specify the 50-nt window, functional-SOC definitions, or an on-device manufacturer mandate. Those are OSTP-framework specifics.</w:t>
      </w:r>
    </w:p>
    <w:p>
      <w:pPr>
        <w:pStyle w:val="BodyText"/>
      </w:pPr>
      <w:r>
        <w:rPr>
          <w:b/>
        </w:rPr>
        <w:t xml:space="preserve">Enforcement mechanisms — three distinct pathways (corrected):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Funding/procurement conditions</w:t>
      </w:r>
      <w:r>
        <w:t xml:space="preserve"> </w:t>
      </w:r>
      <w:r>
        <w:t xml:space="preserve">(the OSTP framework’s mechanism): reaches federally funded purchasers only, via award terms (NIH NOT-OD-25-012; HHS/ASPR; DOE FAL). Covers providers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benchtop manufacturers, but not non-federally-funded actors.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Commerce regulation</w:t>
      </w:r>
      <w:r>
        <w:t xml:space="preserve"> </w:t>
      </w:r>
      <w:r>
        <w:t xml:space="preserve">(S. 3741’s mechanism, if enacted): would make provider order/customer screening mandatory more broadly than funding conditions reach.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FDA device classification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mechanism and remains</w:t>
      </w:r>
      <w:r>
        <w:t xml:space="preserve"> </w:t>
      </w:r>
      <w:r>
        <w:rPr>
          <w:b/>
        </w:rPr>
        <w:t xml:space="preserve">unresolved</w:t>
      </w:r>
      <w:r>
        <w:t xml:space="preserve"> </w:t>
      </w:r>
      <w:r>
        <w:t xml:space="preserve">— whether DIY/benchtop synthesizers acquire a formal device classification, and under whose authority, is an open question, not an established mandate.</w:t>
      </w:r>
    </w:p>
    <w:p>
      <w:pPr>
        <w:pStyle w:val="BodyText"/>
      </w:pPr>
      <w:r>
        <w:rPr>
          <w:b/>
        </w:rPr>
        <w:t xml:space="preserve">Composite R1, stated honestly.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mandatory + on-device</w:t>
      </w:r>
      <w:r>
        <w:t xml:space="preserve">”</w:t>
      </w:r>
      <w:r>
        <w:t xml:space="preserve"> </w:t>
      </w:r>
      <w:r>
        <w:t xml:space="preserve">R1 this chapter models = the OSTP framework’s technical spec (50-nt, functional SOC, manufacturer/on-device expectations)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a screening mandate given force by S. 3741 (Commerce) and/or the framework’s funding conditions. As of July 2026, the framework is paused and S. 3741 is a referred bill. Every R1 claim is conditional on the framework revision being issued substantially as scheduled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on S. 3741 (or equivalent) being enacted.</w:t>
      </w:r>
    </w:p>
    <w:p>
      <w:pPr>
        <w:pStyle w:val="Heading3"/>
      </w:pPr>
      <w:bookmarkStart w:id="30" w:name="r1-control-levers-5"/>
      <w:r>
        <w:t xml:space="preserve">2.2 R1 Control Levers (5)</w:t>
      </w:r>
      <w:bookmarkEnd w:id="30"/>
    </w:p>
    <w:p>
      <w:pPr>
        <w:pStyle w:val="FirstParagraph"/>
      </w:pPr>
      <w:r>
        <w:rPr>
          <w:b/>
        </w:rPr>
        <w:t xml:space="preserve">Lever 1: Mandatory provider screening (50-nt threshold).</w:t>
      </w:r>
      <w:r>
        <w:t xml:space="preserve"> </w:t>
      </w:r>
      <w:r>
        <w:t xml:space="preserve">Under R1, provider order/customer screening becomes mandatory — via Commerce regulation (S. 3741) and/or funding/procurement conditions — at a</w:t>
      </w:r>
      <w:r>
        <w:t xml:space="preserve"> </w:t>
      </w:r>
      <w:r>
        <w:rPr>
          <w:b/>
        </w:rPr>
        <w:t xml:space="preserve">50-nucleotide window</w:t>
      </w:r>
      <w:r>
        <w:t xml:space="preserve"> </w:t>
      </w:r>
      <w:r>
        <w:t xml:space="preserve">(vs. R0’s voluntary 200-nt), against the regulated-pathogen database plus functional SOC definitions. Screening compares each ordered sequence — in nucleotide space and across six-frame protein translations — against regulated-agent sequences; a best match within a defined window (each</w:t>
      </w:r>
      <w:r>
        <w:t xml:space="preserve"> </w:t>
      </w:r>
      <w:r>
        <w:rPr>
          <w:b/>
        </w:rPr>
        <w:t xml:space="preserve">16 amino acid and/or 50 nucleotide</w:t>
      </w:r>
      <w:r>
        <w:t xml:space="preserve"> </w:t>
      </w:r>
      <w:r>
        <w:t xml:space="preserve">window) flags the order for customer-legitimacy review.</w:t>
      </w:r>
      <w:r>
        <w:t xml:space="preserve"> </w:t>
      </w:r>
      <w:r>
        <w:rPr>
          <w:b/>
        </w:rPr>
        <w:t xml:space="preserve">R1 durability: MEDIUM–HIGH.</w:t>
      </w:r>
      <w:r>
        <w:t xml:space="preserve"> </w:t>
      </w:r>
      <w:r>
        <w:t xml:space="preserve">Mandatory compliance for covered providers; functional definitions improve detection of AI-designed variants. Residual gap: providers outside U.S. jurisdiction.</w:t>
      </w:r>
      <w:r>
        <w:t xml:space="preserve"> </w:t>
      </w:r>
      <w:r>
        <w:rPr>
          <w:b/>
        </w:rPr>
        <w:t xml:space="preserve">Benchmarking:</w:t>
      </w:r>
      <w:r>
        <w:t xml:space="preserve"> </w:t>
      </w:r>
      <w:r>
        <w:t xml:space="preserve">Laird et al. (</w:t>
      </w:r>
      <w:r>
        <w:rPr>
          <w:i/>
        </w:rPr>
        <w:t xml:space="preserve">Applied Biosafety</w:t>
      </w:r>
      <w:r>
        <w:t xml:space="preserve">, 2025) found tested screening tools cleared</w:t>
      </w:r>
      <w:r>
        <w:t xml:space="preserve"> </w:t>
      </w:r>
      <w:r>
        <w:rPr>
          <w:b/>
        </w:rPr>
        <w:t xml:space="preserve">&gt;95% sensitivity and &gt;97% accuracy</w:t>
      </w:r>
      <w:r>
        <w:t xml:space="preserve"> </w:t>
      </w:r>
      <w:r>
        <w:t xml:space="preserve">on a blinded NIST dataset, with most already screening to 50 nt and several implementing functional checks.</w:t>
      </w:r>
    </w:p>
    <w:p>
      <w:pPr>
        <w:pStyle w:val="BodyText"/>
      </w:pPr>
      <w:r>
        <w:rPr>
          <w:b/>
        </w:rPr>
        <w:t xml:space="preserve">Lever 2: On-device screening (manufacturers).</w:t>
      </w:r>
      <w:r>
        <w:t xml:space="preserve"> </w:t>
      </w:r>
      <w:r>
        <w:t xml:space="preserve">The OSTP framework directs manufacturers of benchtop equipment to screen SOC-containing runs and retain flagged-order records; under R1 this is enforced through</w:t>
      </w:r>
      <w:r>
        <w:t xml:space="preserve"> </w:t>
      </w:r>
      <w:r>
        <w:rPr>
          <w:b/>
        </w:rPr>
        <w:t xml:space="preserve">funding/procurement conditions</w:t>
      </w:r>
      <w:r>
        <w:t xml:space="preserve"> </w:t>
      </w:r>
      <w:r>
        <w:t xml:space="preserve">on federally funded purchasers of benchtop equipment (NOT-OD-25-012). A broader statutory on-device mandate would require the framework revision or new legislation — S. 3741 as introduced does not add one.</w:t>
      </w:r>
      <w:r>
        <w:t xml:space="preserve"> </w:t>
      </w:r>
      <w:r>
        <w:rPr>
          <w:b/>
        </w:rPr>
        <w:t xml:space="preserve">R1 durability: MEDIUM–HIGH.</w:t>
      </w:r>
      <w:r>
        <w:t xml:space="preserve"> </w:t>
      </w:r>
      <w:r>
        <w:t xml:space="preserve">Hard to circumvent on compliant commercial devices; applies to newly manufactured units. Residual gaps: legacy/used devices without screening; the unresolved status of DIY/open-source systems (see §2.1). Cost context: IFP (2024) treats screening integration as a modest fraction of instrument cost.</w:t>
      </w:r>
    </w:p>
    <w:p>
      <w:pPr>
        <w:pStyle w:val="BodyText"/>
      </w:pPr>
      <w:r>
        <w:rPr>
          <w:b/>
        </w:rPr>
        <w:t xml:space="preserve">Lever 3: Functional SOC detection (AI-resistant).</w:t>
      </w:r>
      <w:r>
        <w:t xml:space="preserve"> </w:t>
      </w:r>
      <w:r>
        <w:t xml:space="preserve">Shifts detection from pure sequence homology toward function-aware definitions (six-frame translation + functional annotation, structural/regulatory features, detection of AI-designed variants).</w:t>
      </w:r>
      <w:r>
        <w:t xml:space="preserve"> </w:t>
      </w:r>
      <w:r>
        <w:rPr>
          <w:b/>
        </w:rPr>
        <w:t xml:space="preserve">R1 durability: MEDIUM–HIGH.</w:t>
      </w:r>
      <w:r>
        <w:t xml:space="preserve"> </w:t>
      </w:r>
      <w:r>
        <w:t xml:space="preserve">Harder to evade than synonymous-codon changes.</w:t>
      </w:r>
      <w:r>
        <w:t xml:space="preserve"> </w:t>
      </w:r>
      <w:r>
        <w:rPr>
          <w:b/>
        </w:rPr>
        <w:t xml:space="preserve">Motivation:</w:t>
      </w:r>
      <w:r>
        <w:t xml:space="preserve"> </w:t>
      </w:r>
      <w:r>
        <w:t xml:space="preserve">Wittmann et al. (2025) showed AI-designed proteins can evade similarity-based screening (one tool pre-patch flagged only 23% of variants); the response — patches raising detection to ~72% average and 97% of the most-likely-functional variants — drove</w:t>
      </w:r>
      <w:r>
        <w:t xml:space="preserve"> </w:t>
      </w:r>
      <w:r>
        <w:rPr>
          <w:i/>
        </w:rPr>
        <w:t xml:space="preserve">improved</w:t>
      </w:r>
      <w:r>
        <w:t xml:space="preserve"> </w:t>
      </w:r>
      <w:r>
        <w:t xml:space="preserve">(functional) detection, not screening obsolescence.</w:t>
      </w:r>
    </w:p>
    <w:p>
      <w:pPr>
        <w:pStyle w:val="BodyText"/>
      </w:pPr>
      <w:r>
        <w:rPr>
          <w:b/>
        </w:rPr>
        <w:t xml:space="preserve">Lever 4: Mandatory record retention (forensic trail).</w:t>
      </w:r>
      <w:r>
        <w:t xml:space="preserve"> </w:t>
      </w:r>
      <w:r>
        <w:t xml:space="preserve">Providers retain customer/order/screening/disposition records (≥3 years; longer where feasible).</w:t>
      </w:r>
      <w:r>
        <w:t xml:space="preserve"> </w:t>
      </w:r>
      <w:r>
        <w:rPr>
          <w:b/>
        </w:rPr>
        <w:t xml:space="preserve">R1 durability: MEDIUM.</w:t>
      </w:r>
      <w:r>
        <w:t xml:space="preserve"> </w:t>
      </w:r>
      <w:r>
        <w:t xml:space="preserve">Enables post-hoc attribution and deters repeat activity, but is post-incident (does not prevent initial synthesis); extra-jurisdictional providers are unbound.</w:t>
      </w:r>
    </w:p>
    <w:p>
      <w:pPr>
        <w:pStyle w:val="BodyText"/>
      </w:pPr>
      <w:r>
        <w:rPr>
          <w:b/>
        </w:rPr>
        <w:t xml:space="preserve">Lever 5: International coordination.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IBBIS Common Mechanism</w:t>
      </w:r>
      <w:r>
        <w:t xml:space="preserve"> </w:t>
      </w:r>
      <w:r>
        <w:t xml:space="preserve">provides a free, global baseline screening tool;</w:t>
      </w:r>
      <w:r>
        <w:t xml:space="preserve"> </w:t>
      </w:r>
      <w:r>
        <w:rPr>
          <w:b/>
        </w:rPr>
        <w:t xml:space="preserve">IGSC</w:t>
      </w:r>
      <w:r>
        <w:t xml:space="preserve"> </w:t>
      </w:r>
      <w:r>
        <w:t xml:space="preserve">(40+ members) applies the Harmonized Screening Protocol and maintains the RPD in a public GitHub repository;</w:t>
      </w:r>
      <w:r>
        <w:t xml:space="preserve"> </w:t>
      </w:r>
      <w:r>
        <w:rPr>
          <w:b/>
        </w:rPr>
        <w:t xml:space="preserve">ISO 20688-2:2024</w:t>
      </w:r>
      <w:r>
        <w:t xml:space="preserve"> </w:t>
      </w:r>
      <w:r>
        <w:t xml:space="preserve">carries biosecurity provisions; the</w:t>
      </w:r>
      <w:r>
        <w:t xml:space="preserve"> </w:t>
      </w:r>
      <w:r>
        <w:rPr>
          <w:b/>
        </w:rPr>
        <w:t xml:space="preserve">Australia Group</w:t>
      </w:r>
      <w:r>
        <w:t xml:space="preserve"> </w:t>
      </w:r>
      <w:r>
        <w:t xml:space="preserve">coordinates export controls across ~43 countries; and the BWC Ninth Review Conference (2022) established a follow-on working group on measures including nucleic-acid synthesis. UK DSIT (Oct 2024) and EU guidance overlap but are not identical to U.S. guidance.</w:t>
      </w:r>
      <w:r>
        <w:t xml:space="preserve"> </w:t>
      </w:r>
      <w:r>
        <w:rPr>
          <w:b/>
        </w:rPr>
        <w:t xml:space="preserve">R1 durability: LOW–MEDIUM.</w:t>
      </w:r>
      <w:r>
        <w:t xml:space="preserve"> </w:t>
      </w:r>
      <w:r>
        <w:t xml:space="preserve">Coordination is incomplete; non-participating jurisdictions remain outside the regime, though major global providers tend to comply with the strictest applicable regime. (A U.S.-only mandate would shift orders to unscreened foreign providers — the chokepoint fails without international agreement.)</w:t>
      </w:r>
    </w:p>
    <w:p>
      <w:pPr>
        <w:pStyle w:val="Heading3"/>
      </w:pPr>
      <w:bookmarkStart w:id="31" w:name="X199736393d9d926e5a1b36635c8d06f23751642"/>
      <w:r>
        <w:t xml:space="preserve">2.3 R1 Residual Vulnerabilities (by approach — analytical)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OpenIDS:</w:t>
      </w:r>
      <w:r>
        <w:t xml:space="preserve"> </w:t>
      </w:r>
      <w:r>
        <w:t xml:space="preserve">if DIY open-source tools fall under a device mandate, on-device screening applies (though open firmware is a weaker barrier than proprietary firmware — §3.1); if exempted, only provider-level screening reaches it. Classification unresolved. Detectability (R1):</w:t>
      </w:r>
      <w:r>
        <w:t xml:space="preserve"> </w:t>
      </w:r>
      <w:r>
        <w:rPr>
          <w:b/>
        </w:rPr>
        <w:t xml:space="preserve">Low–Medium.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MAS 2.0:</w:t>
      </w:r>
      <w:r>
        <w:t xml:space="preserve"> </w:t>
      </w:r>
      <w:r>
        <w:t xml:space="preserve">shares OpenIDS’s unresolved DIY classification — on-device screening applies only if open-source array synthesizers are brought under a device mandate; otherwise only provider-level screening of any purchased reagents/oligos reaches it. Detectability (R1):</w:t>
      </w:r>
      <w:r>
        <w:t xml:space="preserve"> </w:t>
      </w:r>
      <w:r>
        <w:rPr>
          <w:b/>
        </w:rPr>
        <w:t xml:space="preserve">Low–Medium.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Electrochemical:</w:t>
      </w:r>
      <w:r>
        <w:t xml:space="preserve"> </w:t>
      </w:r>
      <w:r>
        <w:t xml:space="preserve">likely outside any on-device mandate (not a commercial device) and hard to detect; a policy gap in the projected framework. Detectability (R1):</w:t>
      </w:r>
      <w:r>
        <w:t xml:space="preserve"> </w:t>
      </w:r>
      <w:r>
        <w:rPr>
          <w:b/>
        </w:rPr>
        <w:t xml:space="preserve">Low.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Enzymatic (service):</w:t>
      </w:r>
      <w:r>
        <w:t xml:space="preserve"> </w:t>
      </w:r>
      <w:r>
        <w:t xml:space="preserve">strengthened — mandatory provider screening, enforcement, tighter window, retention. Residual: extra-jurisdictional providers. Detectability (R1):</w:t>
      </w:r>
      <w:r>
        <w:t xml:space="preserve"> </w:t>
      </w:r>
      <w:r>
        <w:rPr>
          <w:b/>
        </w:rPr>
        <w:t xml:space="preserve">High</w:t>
      </w:r>
      <w:r>
        <w:t xml:space="preserve"> </w:t>
      </w:r>
      <w:r>
        <w:t xml:space="preserve">domestically;</w:t>
      </w:r>
      <w:r>
        <w:t xml:space="preserve"> </w:t>
      </w:r>
      <w:r>
        <w:rPr>
          <w:b/>
        </w:rPr>
        <w:t xml:space="preserve">Low</w:t>
      </w:r>
      <w:r>
        <w:t xml:space="preserve"> </w:t>
      </w:r>
      <w:r>
        <w:t xml:space="preserve">internationally.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Enzymatic (benchtop):</w:t>
      </w:r>
      <w:r>
        <w:t xml:space="preserve"> </w:t>
      </w:r>
      <w:r>
        <w:t xml:space="preserve">constrained by manufacturer on-device expectations + retention. Residual: legacy devices. Detectability (R1):</w:t>
      </w:r>
      <w:r>
        <w:t xml:space="preserve"> </w:t>
      </w:r>
      <w:r>
        <w:rPr>
          <w:b/>
        </w:rPr>
        <w:t xml:space="preserve">Medium–High.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DropSynth:</w:t>
      </w:r>
      <w:r>
        <w:t xml:space="preserve"> </w:t>
      </w:r>
      <w:r>
        <w:t xml:space="preserve">provider screening reaches its commercial oligo-pool inputs (the assembly inherits the perimeter); an expertise barrier, not an equipment one; a device mandate would apply only if it were ever commercialized as an instrument. Detectability (R1):</w:t>
      </w:r>
      <w:r>
        <w:t xml:space="preserve"> </w:t>
      </w:r>
      <w:r>
        <w:rPr>
          <w:b/>
        </w:rPr>
        <w:t xml:space="preserve">Medium.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Commercial benchtop:</w:t>
      </w:r>
      <w:r>
        <w:t xml:space="preserve"> </w:t>
      </w:r>
      <w:r>
        <w:t xml:space="preserve">most constrained — on-device screening + mandatory provider screening + retention + funding/procurement enforcement. Residual: secondary market for legacy devices. Detectability (R1):</w:t>
      </w:r>
      <w:r>
        <w:t xml:space="preserve"> </w:t>
      </w:r>
      <w:r>
        <w:rPr>
          <w:b/>
        </w:rPr>
        <w:t xml:space="preserve">High</w:t>
      </w:r>
      <w:r>
        <w:t xml:space="preserve"> </w:t>
      </w:r>
      <w:r>
        <w:t xml:space="preserve">(new);</w:t>
      </w:r>
      <w:r>
        <w:t xml:space="preserve"> </w:t>
      </w:r>
      <w:r>
        <w:rPr>
          <w:b/>
        </w:rPr>
        <w:t xml:space="preserve">Medium</w:t>
      </w:r>
      <w:r>
        <w:t xml:space="preserve"> </w:t>
      </w:r>
      <w:r>
        <w:t xml:space="preserve">(legacy).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ntrol-robustness-analysis"/>
      <w:r>
        <w:t xml:space="preserve">3. CONTROL-ROBUSTNESS ANALYSIS</w:t>
      </w:r>
      <w:bookmarkEnd w:id="32"/>
    </w:p>
    <w:p>
      <w:pPr>
        <w:pStyle w:val="Heading3"/>
      </w:pPr>
      <w:bookmarkStart w:id="33" w:name="Xf33051cae18c7a7fe0b72641611709a77c9b9b9"/>
      <w:r>
        <w:t xml:space="preserve">3.1 Substitution test: if one lever fails, do others hold?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Provider screening circumvented</w:t>
      </w:r>
      <w:r>
        <w:t xml:space="preserve"> </w:t>
      </w:r>
      <w:r>
        <w:t xml:space="preserve">(order routed to a non-participating or extra-jurisdictional provider). R0: control fails. R1: on-device screening backstops compliant devices → holds; DIY/unregulated-service routes → fails.</w:t>
      </w:r>
      <w:r>
        <w:t xml:space="preserve"> </w:t>
      </w:r>
      <w:r>
        <w:rPr>
          <w:b/>
        </w:rPr>
        <w:t xml:space="preserve">Finding:</w:t>
      </w:r>
      <w:r>
        <w:t xml:space="preserve"> </w:t>
      </w:r>
      <w:r>
        <w:t xml:space="preserve">on-device screening is the effective backstop, but only where it applies.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On-device screening on DIY vs. commercial devices.</w:t>
      </w:r>
      <w:r>
        <w:t xml:space="preserve"> </w:t>
      </w:r>
      <w:r>
        <w:t xml:space="preserve">Open-source firmware is inherently modifiable, so on-device screening is not tamper-proof for DIY systems; proprietary commercial firmware is a substantially higher barrier. Record retention gives a partial post-hoc backstop in both cases.</w:t>
      </w:r>
      <w:r>
        <w:t xml:space="preserve"> </w:t>
      </w:r>
      <w:r>
        <w:rPr>
          <w:b/>
        </w:rPr>
        <w:t xml:space="preserve">Finding:</w:t>
      </w:r>
      <w:r>
        <w:t xml:space="preserve"> </w:t>
      </w:r>
      <w:r>
        <w:t xml:space="preserve">on-device screening is durable for regulated commercial devices, weak for open DIY systems — an argument for pairing it with provider-level and attribution controls,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circumvention recipe.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Phosphoramidite restriction.</w:t>
      </w:r>
      <w:r>
        <w:t xml:space="preserve"> </w:t>
      </w:r>
      <w:r>
        <w:t xml:space="preserve">Fails under both regimes: multiple suppliers, propylene-carbonate substitution commodity-trivial.</w:t>
      </w:r>
      <w:r>
        <w:t xml:space="preserve"> </w:t>
      </w:r>
      <w:r>
        <w:rPr>
          <w:b/>
        </w:rPr>
        <w:t xml:space="preserve">Finding:</w:t>
      </w:r>
      <w:r>
        <w:t xml:space="preserve"> </w:t>
      </w:r>
      <w:r>
        <w:t xml:space="preserve">reagent restriction is not durable.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Printhead restriction.</w:t>
      </w:r>
      <w:r>
        <w:t xml:space="preserve"> </w:t>
      </w:r>
      <w:r>
        <w:t xml:space="preserve">Fails: many suppliers, non-synthesis cover demand, non-printhead methods sidestep it.</w:t>
      </w:r>
      <w:r>
        <w:t xml:space="preserve"> </w:t>
      </w:r>
      <w:r>
        <w:rPr>
          <w:b/>
        </w:rPr>
        <w:t xml:space="preserve">Finding:</w:t>
      </w:r>
      <w:r>
        <w:t xml:space="preserve"> </w:t>
      </w:r>
      <w:r>
        <w:t xml:space="preserve">component restriction is not durable.</w:t>
      </w:r>
    </w:p>
    <w:p>
      <w:pPr>
        <w:pStyle w:val="Heading3"/>
      </w:pPr>
      <w:bookmarkStart w:id="34" w:name="sensitivity-analysis"/>
      <w:r>
        <w:t xml:space="preserve">3.2 Sensitivity analysis</w:t>
      </w:r>
      <w:bookmarkEnd w:id="3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Reagent price −50%.</w:t>
      </w:r>
      <w:r>
        <w:t xml:space="preserve"> </w:t>
      </w:r>
      <w:r>
        <w:t xml:space="preserve">Rank order roughly unchanged: commercial remains cheapest per base; OpenIDS remains accessible at ~$1–2/seq; service pricing sticky. No material shift.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On-device screening cost +$5–10K/device.</w:t>
      </w:r>
      <w:r>
        <w:t xml:space="preserve"> </w:t>
      </w:r>
      <w:r>
        <w:t xml:space="preserve">&lt;10% of instrument price for commercial/enzymatic benchtop; minimal adoption impact; DIY unaffected. No material shift.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Electrochemical TRL 3→5 by 2028 (conditional).</w:t>
      </w:r>
      <w:r>
        <w:t xml:space="preserve"> </w:t>
      </w:r>
      <w:r>
        <w:t xml:space="preserve">If it occurred, electrochemical could become the cheapest DIY option (~$8–10K), displacing OpenIDS as sole low-cost DIY route. But advancement is conditional-future and not guaranteed.</w:t>
      </w:r>
    </w:p>
    <w:p>
      <w:pPr>
        <w:pStyle w:val="CaptionedFigure"/>
      </w:pPr>
      <w:r>
        <w:drawing>
          <wp:inline>
            <wp:extent cx="5334000" cy="2440480"/>
            <wp:effectExtent b="0" l="0" r="0" t="0"/>
            <wp:docPr descr="Figure 2.3" title="" id="1" name="Picture"/>
            <a:graphic>
              <a:graphicData uri="http://schemas.openxmlformats.org/drawingml/2006/picture">
                <pic:pic>
                  <pic:nvPicPr>
                    <pic:cNvPr descr="figures/fig2_3_sensitiv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</w:t>
      </w:r>
    </w:p>
    <w:p>
      <w:pPr>
        <w:pStyle w:val="Heading3"/>
      </w:pPr>
      <w:bookmarkStart w:id="36" w:name="Xb038697e7c517d444fe454db84e86d7cd511d52"/>
      <w:r>
        <w:t xml:space="preserve">3.3 Scenario test: full R1 mandate implemented</w:t>
      </w:r>
      <w:bookmarkEnd w:id="36"/>
    </w:p>
    <w:p>
      <w:pPr>
        <w:pStyle w:val="FirstParagraph"/>
      </w:pPr>
      <w:r>
        <w:t xml:space="preserve">Assuming S. 3741 is enacted and the OSTP revision implements on-device + mandatory provider screening with functional SOC detection and retention: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 screening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On-device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Functional detection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Overall R1 detectability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OpenIDS</w:t>
            </w:r>
          </w:p>
        </w:tc>
        <w:tc>
          <w:p>
            <w:pPr>
              <w:pStyle w:val="Compact"/>
              <w:jc w:val="left"/>
            </w:pPr>
            <w:r>
              <w:t xml:space="preserve">bypassable via non-participating provider</w:t>
            </w:r>
          </w:p>
        </w:tc>
        <w:tc>
          <w:p>
            <w:pPr>
              <w:pStyle w:val="Compact"/>
              <w:jc w:val="left"/>
            </w:pPr>
            <w:r>
              <w:t xml:space="preserve">applies iff classified (open firmware weak)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provider-side</w:t>
            </w:r>
          </w:p>
        </w:tc>
        <w:tc>
          <w:p>
            <w:pPr>
              <w:pStyle w:val="Compact"/>
              <w:jc w:val="left"/>
            </w:pPr>
            <w:r>
              <w:t xml:space="preserve">Medium (if classified) / Low (if exempt)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 2.0</w:t>
            </w:r>
          </w:p>
        </w:tc>
        <w:tc>
          <w:p>
            <w:pPr>
              <w:pStyle w:val="Compact"/>
              <w:jc w:val="left"/>
            </w:pPr>
            <w:r>
              <w:t xml:space="preserve">bypassable (self-run)</w:t>
            </w:r>
          </w:p>
        </w:tc>
        <w:tc>
          <w:p>
            <w:pPr>
              <w:pStyle w:val="Compact"/>
              <w:jc w:val="left"/>
            </w:pPr>
            <w:r>
              <w:t xml:space="preserve">applies iff classified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provider-side</w:t>
            </w:r>
          </w:p>
        </w:tc>
        <w:tc>
          <w:p>
            <w:pPr>
              <w:pStyle w:val="Compact"/>
              <w:jc w:val="left"/>
            </w:pPr>
            <w:r>
              <w:t xml:space="preserve">Medium (if classified) / Low (if exempt)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Electrochemical</w:t>
            </w:r>
          </w:p>
        </w:tc>
        <w:tc>
          <w:p>
            <w:pPr>
              <w:pStyle w:val="Compact"/>
              <w:jc w:val="left"/>
            </w:pPr>
            <w:r>
              <w:t xml:space="preserve">bypassable</w:t>
            </w:r>
          </w:p>
        </w:tc>
        <w:tc>
          <w:p>
            <w:pPr>
              <w:pStyle w:val="Compact"/>
              <w:jc w:val="left"/>
            </w:pPr>
            <w:r>
              <w:t xml:space="preserve">does not apply (not commercial device)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Low (policy gap)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Enzymatic (service)</w:t>
            </w:r>
          </w:p>
        </w:tc>
        <w:tc>
          <w:p>
            <w:pPr>
              <w:pStyle w:val="Compact"/>
              <w:jc w:val="left"/>
            </w:pPr>
            <w:r>
              <w:t xml:space="preserve">mandatory (strengthened)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strengthened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p>
            <w:pPr>
              <w:pStyle w:val="Compact"/>
              <w:jc w:val="left"/>
            </w:pPr>
            <w:r>
              <w:t xml:space="preserve">Medium–High (intl gap)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Enzymatic (benchtop)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p>
            <w:pPr>
              <w:pStyle w:val="Compact"/>
              <w:jc w:val="left"/>
            </w:pPr>
            <w:r>
              <w:t xml:space="preserve">manufacturer-integrated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device + provider</w:t>
            </w:r>
          </w:p>
        </w:tc>
        <w:tc>
          <w:p>
            <w:pPr>
              <w:pStyle w:val="Compact"/>
              <w:jc w:val="left"/>
            </w:pPr>
            <w:r>
              <w:t xml:space="preserve">Medium–High (legacy gap)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Commercial benchtop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p>
            <w:pPr>
              <w:pStyle w:val="Compact"/>
              <w:jc w:val="left"/>
            </w:pPr>
            <w:r>
              <w:t xml:space="preserve">manufacturer-integrated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device + provider</w:t>
            </w:r>
          </w:p>
        </w:tc>
        <w:tc>
          <w:p>
            <w:pPr>
              <w:pStyle w:val="Compact"/>
              <w:jc w:val="left"/>
            </w:pPr>
            <w:r>
              <w:t xml:space="preserve">High (new) / Medium (legacy)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DropSynth</w:t>
            </w:r>
          </w:p>
        </w:tc>
        <w:tc>
          <w:p>
            <w:pPr>
              <w:pStyle w:val="Compact"/>
              <w:jc w:val="left"/>
            </w:pPr>
            <w:r>
              <w:t xml:space="preserve">applies to oligo-pool inputs</w:t>
            </w:r>
          </w:p>
        </w:tc>
        <w:tc>
          <w:p>
            <w:pPr>
              <w:pStyle w:val="Compact"/>
              <w:jc w:val="left"/>
            </w:pPr>
            <w:r>
              <w:t xml:space="preserve">iff commercialized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provider-side</w:t>
            </w:r>
          </w:p>
        </w:tc>
        <w:tc>
          <w:p>
            <w:pPr>
              <w:pStyle w:val="Compact"/>
              <w:jc w:val="left"/>
            </w:pPr>
            <w:r>
              <w:t xml:space="preserve">Medium (inherits perimeter via inputs)</w:t>
            </w:r>
          </w:p>
        </w:tc>
      </w:tr>
    </w:tbl>
    <w:p>
      <w:pPr>
        <w:pStyle w:val="BodyText"/>
      </w:pPr>
      <w:r>
        <w:rPr>
          <w:b/>
        </w:rPr>
        <w:t xml:space="preserve">Scenario summary.</w:t>
      </w:r>
      <w:r>
        <w:t xml:space="preserve"> </w:t>
      </w:r>
      <w:r>
        <w:t xml:space="preserve">Heavily constrained: commercial benchtop, enzymatic benchtop, enzymatic service (domestic). Moderately constrained: OpenIDS and MAS 2.0 (if classified), DropSynth (inputs screened). Weakly constrained: electrochemical, OpenIDS/MAS 2.0 (if exempt), extra-jurisdictional service.</w:t>
      </w:r>
    </w:p>
    <w:p>
      <w:pPr>
        <w:pStyle w:val="BodyText"/>
      </w:pPr>
      <w:r>
        <w:rPr>
          <w:b/>
        </w:rPr>
        <w:t xml:space="preserve">Residual vulnerabilities (R1):</w:t>
      </w:r>
      <w:r>
        <w:t xml:space="preserve"> </w:t>
      </w:r>
      <w:r>
        <w:t xml:space="preserve">(1) legacy/used devices without on-device screening; (2) unresolved DIY classification; (3) extra-jurisdictional providers; (4) reagent/solvent substitutability.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ntrol-survival-matrix-worst-case"/>
      <w:r>
        <w:t xml:space="preserve">4. CONTROL SURVIVAL MATRIX (worst-case)</w:t>
      </w:r>
      <w:bookmarkEnd w:id="3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 lever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R0 survives worst case?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R1 survives worst case?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screening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 (gap: extra-jurisdictional)</w:t>
            </w:r>
          </w:p>
        </w:tc>
        <w:tc>
          <w:p>
            <w:pPr>
              <w:pStyle w:val="Compact"/>
              <w:jc w:val="left"/>
            </w:pPr>
            <w:r>
              <w:t xml:space="preserve">Mandatory helps domestically; international gap remains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Phosphoramidite supply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Multiple suppliers; no chokepoint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Acetonitrile solvent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GRAS substitute (propylene carbonate)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Printhead sourcing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Cover demand; alternative methods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On-device screening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◑ partial (new devices; weak for DIY/legacy)</w:t>
            </w:r>
          </w:p>
        </w:tc>
        <w:tc>
          <w:p>
            <w:pPr>
              <w:pStyle w:val="Compact"/>
              <w:jc w:val="left"/>
            </w:pPr>
            <w:r>
              <w:t xml:space="preserve">Effective for regulated commercial devices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SOC detection</w:t>
            </w:r>
          </w:p>
        </w:tc>
        <w:tc>
          <w:p>
            <w:pPr>
              <w:pStyle w:val="Compact"/>
              <w:jc w:val="left"/>
            </w:pPr>
            <w:r>
              <w:t xml:space="preserve">✗ (R0 = homology only)</w:t>
            </w:r>
          </w:p>
        </w:tc>
        <w:tc>
          <w:p>
            <w:pPr>
              <w:pStyle w:val="Compact"/>
              <w:jc w:val="left"/>
            </w:pPr>
            <w:r>
              <w:t xml:space="preserve">✓ (harder, not impossible)</w:t>
            </w:r>
          </w:p>
        </w:tc>
        <w:tc>
          <w:p>
            <w:pPr>
              <w:pStyle w:val="Compact"/>
              <w:jc w:val="left"/>
            </w:pPr>
            <w:r>
              <w:t xml:space="preserve">Motivated by Wittmann et al. 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 retention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✓ (post-hoc only)</w:t>
            </w:r>
          </w:p>
        </w:tc>
        <w:tc>
          <w:p>
            <w:pPr>
              <w:pStyle w:val="Compact"/>
              <w:jc w:val="left"/>
            </w:pPr>
            <w:r>
              <w:t xml:space="preserve">Attribution, not prevention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 coordination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◑ partial</w:t>
            </w:r>
          </w:p>
        </w:tc>
        <w:tc>
          <w:p>
            <w:pPr>
              <w:pStyle w:val="Compact"/>
              <w:jc w:val="left"/>
            </w:pPr>
            <w:r>
              <w:t xml:space="preserve">Non-signatories remain outside</w:t>
            </w:r>
          </w:p>
        </w:tc>
      </w:tr>
    </w:tbl>
    <w:p>
      <w:pPr>
        <w:pStyle w:val="Heading3"/>
      </w:pPr>
      <w:bookmarkStart w:id="38" w:name="robustness-ranking"/>
      <w:r>
        <w:t xml:space="preserve">4.1 Robustness ranking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Durability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screening (domestic)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MED–HIGH</w:t>
            </w:r>
          </w:p>
        </w:tc>
        <w:tc>
          <w:p>
            <w:pPr>
              <w:pStyle w:val="Compact"/>
              <w:jc w:val="left"/>
            </w:pPr>
            <w:r>
              <w:t xml:space="preserve">Tier 1 (enforcement-dependent)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On-device screening (new devices)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MED–HIGH</w:t>
            </w:r>
          </w:p>
        </w:tc>
        <w:tc>
          <w:p>
            <w:pPr>
              <w:pStyle w:val="Compact"/>
              <w:jc w:val="left"/>
            </w:pPr>
            <w:r>
              <w:t xml:space="preserve">Tier 1 (weak for DIY/legacy)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SOC detection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Tier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 retention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Tier 2 (post-hoc)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 coordination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LOW–MED</w:t>
            </w:r>
          </w:p>
        </w:tc>
        <w:tc>
          <w:p>
            <w:pPr>
              <w:pStyle w:val="Compact"/>
              <w:jc w:val="left"/>
            </w:pPr>
            <w:r>
              <w:t xml:space="preserve">Tier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Supply-chain restriction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Tier 4 (not durable)</w:t>
            </w:r>
          </w:p>
        </w:tc>
      </w:tr>
    </w:tbl>
    <w:p>
      <w:pPr>
        <w:pStyle w:val="CaptionedFigure"/>
      </w:pPr>
      <w:r>
        <w:drawing>
          <wp:inline>
            <wp:extent cx="5334000" cy="3161856"/>
            <wp:effectExtent b="0" l="0" r="0" t="0"/>
            <wp:docPr descr="Figure 2.6" title="" id="1" name="Picture"/>
            <a:graphic>
              <a:graphicData uri="http://schemas.openxmlformats.org/drawingml/2006/picture">
                <pic:pic>
                  <pic:nvPicPr>
                    <pic:cNvPr descr="figures/fig2_6_ladd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key-findings-policy-implications"/>
      <w:r>
        <w:t xml:space="preserve">5. KEY FINDINGS &amp; POLICY IMPLICATIONS</w:t>
      </w:r>
      <w:bookmarkEnd w:id="4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R0 is fragile across all levers.</w:t>
      </w:r>
      <w:r>
        <w:t xml:space="preserve"> </w:t>
      </w:r>
      <w:r>
        <w:t xml:space="preserve">Voluntary governance + fragmented supply-chain monitoring is insufficient; supply-chain restriction offers negligible resistance. → Do not rely on supply-chain restriction as a primary lever.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R1 on-device screening is more durable than supply-chain restriction — if implemented</w:t>
      </w:r>
      <w:r>
        <w:t xml:space="preserve"> </w:t>
      </w:r>
      <w:r>
        <w:t xml:space="preserve">— but retains gaps for DIY systems, legacy devices, and extra-jurisdictional providers. → Pair device-level control with provider-level screening and attribution.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Substitution resistance persists at the reagent/solvent level under both regimes.</w:t>
      </w:r>
      <w:r>
        <w:t xml:space="preserve"> </w:t>
      </w:r>
      <w:r>
        <w:t xml:space="preserve">→ Control belongs at the device and provider, not the input.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Electrochemical synthesis is underspecified in the projected framework</w:t>
      </w:r>
      <w:r>
        <w:t xml:space="preserve"> </w:t>
      </w:r>
      <w:r>
        <w:t xml:space="preserve">(portable, low-signature, unclear device status). → The framework revision should address classification and oversight explicitly.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Enzymatic service becomes more controllable under R1</w:t>
      </w:r>
      <w:r>
        <w:t xml:space="preserve"> </w:t>
      </w:r>
      <w:r>
        <w:t xml:space="preserve">(mandatory provider screening, enforcement, centralized auditability). → Shifting demand toward regulated providers strengthens governance.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5f6191c91487bbcfa071bfc8b4ad7134c135bd7"/>
      <w:r>
        <w:t xml:space="preserve">6. RECOMMENDED CONTROL ARCHITECTURE (R1 + post-2026)</w:t>
      </w:r>
      <w:bookmarkEnd w:id="41"/>
    </w:p>
    <w:p>
      <w:pPr>
        <w:pStyle w:val="FirstParagraph"/>
      </w:pPr>
      <w:r>
        <w:rPr>
          <w:b/>
        </w:rPr>
        <w:t xml:space="preserve">Tier 1 (high durability):</w:t>
      </w:r>
      <w:r>
        <w:t xml:space="preserve"> </w:t>
      </w:r>
      <w:r>
        <w:t xml:space="preserve">mandatory on-device screening for benchtop devices; mandatory provider screening (50-nt, functional SOC) enforced via Commerce regulation and/or funding/procurement; functional SOC detection integrated with structural/functional resources.</w:t>
      </w:r>
      <w:r>
        <w:t xml:space="preserve"> </w:t>
      </w:r>
      <w:r>
        <w:rPr>
          <w:b/>
        </w:rPr>
        <w:t xml:space="preserve">Tier 2 (medium durability):</w:t>
      </w:r>
      <w:r>
        <w:t xml:space="preserve"> </w:t>
      </w:r>
      <w:r>
        <w:t xml:space="preserve">mandatory record retention (attribution).</w:t>
      </w:r>
      <w:r>
        <w:t xml:space="preserve"> </w:t>
      </w:r>
      <w:r>
        <w:rPr>
          <w:b/>
        </w:rPr>
        <w:t xml:space="preserve">Tier 3 (emerging):</w:t>
      </w:r>
      <w:r>
        <w:t xml:space="preserve"> </w:t>
      </w:r>
      <w:r>
        <w:t xml:space="preserve">international coordination (IBBIS Common Mechanism; IGSC; ISO 20688-2; UK/EU alignment).</w:t>
      </w:r>
      <w:r>
        <w:t xml:space="preserve"> </w:t>
      </w:r>
      <w:r>
        <w:rPr>
          <w:b/>
        </w:rPr>
        <w:t xml:space="preserve">Not recommended as a primary control (Tier 4, low durability):</w:t>
      </w:r>
      <w:r>
        <w:t xml:space="preserve"> </w:t>
      </w:r>
      <w:r>
        <w:t xml:space="preserve">supply-chain restriction on phosphoramidites, solvents, or printheads — substitutable/commodity, with non-synthesis cover demand.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ritical-policy-gaps"/>
      <w:r>
        <w:t xml:space="preserve">7. CRITICAL POLICY GAPS</w:t>
      </w:r>
      <w:bookmarkEnd w:id="4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DIY-systems classification (OpenIDS, electrochemical).</w:t>
      </w:r>
      <w:r>
        <w:t xml:space="preserve"> </w:t>
      </w:r>
      <w:r>
        <w:t xml:space="preserve">Unresolved whether open-source/DIY tools fall under a device mandate. → Define scope explicitly or establish an alternative oversight pathway.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Electrochemical underspecified.</w:t>
      </w:r>
      <w:r>
        <w:t xml:space="preserve"> </w:t>
      </w:r>
      <w:r>
        <w:t xml:space="preserve">→ Address emerging low-signature platforms in the framework.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Legacy/secondary-market devices.</w:t>
      </w:r>
      <w:r>
        <w:t xml:space="preserve"> </w:t>
      </w:r>
      <w:r>
        <w:t xml:space="preserve">Pre-mandate instruments lack on-device screening. → Consider registration/retrofit.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Incomplete international coordination.</w:t>
      </w:r>
      <w:r>
        <w:t xml:space="preserve"> </w:t>
      </w:r>
      <w:r>
        <w:t xml:space="preserve">→ Pursue bilateral/multilateral alignment with major supply-chain jurisdictions.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onclusion"/>
      <w:r>
        <w:t xml:space="preserve">8. CONCLUSION</w:t>
      </w:r>
      <w:bookmarkEnd w:id="43"/>
    </w:p>
    <w:p>
      <w:pPr>
        <w:pStyle w:val="FirstParagraph"/>
      </w:pPr>
      <w:r>
        <w:t xml:space="preserve">R0 voluntary provider screening plus fragmented supply-chain monitoring is not a durable control architecture: every lever can be circumvented through substitution or routing around participating providers, and supply-chain restriction lacks durability.</w:t>
      </w:r>
    </w:p>
    <w:p>
      <w:pPr>
        <w:pStyle w:val="BodyText"/>
      </w:pPr>
      <w:r>
        <w:t xml:space="preserve">R1,</w:t>
      </w:r>
      <w:r>
        <w:t xml:space="preserve"> </w:t>
      </w:r>
      <w:r>
        <w:rPr>
          <w:i/>
        </w:rPr>
        <w:t xml:space="preserve">if implemented as projected and paired with the complementary measures above</w:t>
      </w:r>
      <w:r>
        <w:t xml:space="preserve">, would be substantially more durable — mandatory on-device + provider screening + functional detection + retention create multiple layers hard to defeat simultaneously for regulated devices. But R1 remains incomplete without resolving four gaps: DIY classification, electrochemical oversight, legacy devices, and international coordination.</w:t>
      </w:r>
    </w:p>
    <w:p>
      <w:pPr>
        <w:pStyle w:val="BodyText"/>
      </w:pPr>
      <w:r>
        <w:rPr>
          <w:b/>
        </w:rPr>
        <w:t xml:space="preserve">Honest bottom line, split by confidence: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HIGH confidence:</w:t>
      </w:r>
      <w:r>
        <w:t xml:space="preserve"> </w:t>
      </w:r>
      <w:r>
        <w:t xml:space="preserve">supply-chain restriction is not a durable control (structural; survives worst-case).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Conditional/MEDIUM confidence:</w:t>
      </w:r>
      <w:r>
        <w:t xml:space="preserve"> </w:t>
      </w:r>
      <w:r>
        <w:t xml:space="preserve">R1 device-level control will prove effective — this depends on the OSTP framework revision being issued and S. 3741 (or equivalent) being enacted and implemented, and on resolving the DIY-classification question. The chapter does not claim R1</w:t>
      </w:r>
      <w:r>
        <w:t xml:space="preserve"> </w:t>
      </w:r>
      <w:r>
        <w:rPr>
          <w:i/>
        </w:rPr>
        <w:t xml:space="preserve">works</w:t>
      </w:r>
      <w:r>
        <w:t xml:space="preserve">; it claims R1 is</w:t>
      </w:r>
      <w:r>
        <w:t xml:space="preserve"> </w:t>
      </w:r>
      <w:r>
        <w:rPr>
          <w:i/>
        </w:rPr>
        <w:t xml:space="preserve">aimed at the right levers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eferences"/>
      <w:r>
        <w:t xml:space="preserve">REFERENCES</w:t>
      </w:r>
      <w:bookmarkEnd w:id="44"/>
    </w:p>
    <w:p>
      <w:pPr>
        <w:pStyle w:val="FirstParagraph"/>
      </w:pPr>
      <w:r>
        <w:rPr>
          <w:b/>
        </w:rPr>
        <w:t xml:space="preserve">Policy documents</w:t>
      </w:r>
      <w:r>
        <w:t xml:space="preserve"> </w:t>
      </w:r>
      <w:r>
        <w:t xml:space="preserve">- Executive Order 14292 (2025).</w:t>
      </w:r>
      <w:r>
        <w:t xml:space="preserve"> </w:t>
      </w:r>
      <w:r>
        <w:rPr>
          <w:i/>
        </w:rPr>
        <w:t xml:space="preserve">Improving the Safety and Security of Biological Research.</w:t>
      </w:r>
      <w:r>
        <w:t xml:space="preserve"> </w:t>
      </w:r>
      <w:r>
        <w:t xml:space="preserve">Federal Register, 90 FR 19611 (May 8, 2025).</w:t>
      </w:r>
      <w:r>
        <w:t xml:space="preserve"> </w:t>
      </w:r>
      <w:r>
        <w:t xml:space="preserve">- Executive Order 14110 (2023).</w:t>
      </w:r>
      <w:r>
        <w:t xml:space="preserve"> </w:t>
      </w:r>
      <w:r>
        <w:rPr>
          <w:i/>
        </w:rPr>
        <w:t xml:space="preserve">Safe, Secure, and Trustworthy Development and Use of Artificial Intelligence</w:t>
      </w:r>
      <w:r>
        <w:t xml:space="preserve"> </w:t>
      </w:r>
      <w:r>
        <w:t xml:space="preserve">(§4.4(b)). October 30, 2023 (rescinded Jan 25, 2025).</w:t>
      </w:r>
      <w:r>
        <w:t xml:space="preserve"> </w:t>
      </w:r>
      <w:r>
        <w:t xml:space="preserve">- OSTP (2024).</w:t>
      </w:r>
      <w:r>
        <w:t xml:space="preserve"> </w:t>
      </w:r>
      <w:r>
        <w:rPr>
          <w:i/>
        </w:rPr>
        <w:t xml:space="preserve">Framework for Nucleic Acid Synthesis Screening.</w:t>
      </w:r>
      <w:r>
        <w:t xml:space="preserve"> </w:t>
      </w:r>
      <w:r>
        <w:t xml:space="preserve">ASPR S3. https://aspr.hhs.gov/S3/Documents/OSTP-Nucleic-Acid-Synthesis-Screening-Framework-508.pdf</w:t>
      </w:r>
      <w:r>
        <w:t xml:space="preserve"> </w:t>
      </w:r>
      <w:r>
        <w:t xml:space="preserve">- U.S. Congress (2026). S. 3741,</w:t>
      </w:r>
      <w:r>
        <w:t xml:space="preserve"> </w:t>
      </w:r>
      <w:r>
        <w:rPr>
          <w:i/>
        </w:rPr>
        <w:t xml:space="preserve">Biosecurity Modernization and Innovation Act of 2026</w:t>
      </w:r>
      <w:r>
        <w:t xml:space="preserve">, 119th Congress (Cotton, Klobuchar). https://www.congress.gov/bill/119th-congress/senate-bill/3741</w:t>
      </w:r>
      <w:r>
        <w:t xml:space="preserve"> </w:t>
      </w:r>
      <w:r>
        <w:t xml:space="preserve">- HHS/ASPR (2023).</w:t>
      </w:r>
      <w:r>
        <w:t xml:space="preserve"> </w:t>
      </w:r>
      <w:r>
        <w:rPr>
          <w:i/>
        </w:rPr>
        <w:t xml:space="preserve">Screening Framework Guidance for Providers and Users of Synthetic Nucleic Acids.</w:t>
      </w:r>
      <w:r>
        <w:t xml:space="preserve"> </w:t>
      </w:r>
      <w:r>
        <w:t xml:space="preserve">October 2023.</w:t>
      </w:r>
      <w:r>
        <w:t xml:space="preserve"> </w:t>
      </w:r>
      <w:r>
        <w:t xml:space="preserve">- NIH NOT-OD-25-012 (2024).</w:t>
      </w:r>
      <w:r>
        <w:t xml:space="preserve"> </w:t>
      </w:r>
      <w:r>
        <w:rPr>
          <w:i/>
        </w:rPr>
        <w:t xml:space="preserve">Notification of NIH Requirements Regarding Procurement of Synthetic Nucleic Acids and Benchtop Nucleic Acid Synthesis Equipment</w:t>
      </w:r>
      <w:r>
        <w:t xml:space="preserve"> </w:t>
      </w:r>
      <w:r>
        <w:t xml:space="preserve">(effective April 26, 2025).</w:t>
      </w:r>
      <w:r>
        <w:t xml:space="preserve"> </w:t>
      </w:r>
      <w:r>
        <w:t xml:space="preserve">- IGSC (2024).</w:t>
      </w:r>
      <w:r>
        <w:t xml:space="preserve"> </w:t>
      </w:r>
      <w:r>
        <w:rPr>
          <w:i/>
        </w:rPr>
        <w:t xml:space="preserve">Harmonized Screening Protocol v3.0.</w:t>
      </w:r>
      <w:r>
        <w:t xml:space="preserve"> </w:t>
      </w:r>
      <w:r>
        <w:t xml:space="preserve">https://genesynthesisconsortium.org/ (50-bp transition by October 24, 2026).</w:t>
      </w:r>
      <w:r>
        <w:t xml:space="preserve"> </w:t>
      </w:r>
      <w:r>
        <w:t xml:space="preserve">- UK Government, DSIT (2024).</w:t>
      </w:r>
      <w:r>
        <w:t xml:space="preserve"> </w:t>
      </w:r>
      <w:r>
        <w:rPr>
          <w:i/>
        </w:rPr>
        <w:t xml:space="preserve">Guidance on screening synthetic nucleic acids.</w:t>
      </w:r>
      <w:r>
        <w:t xml:space="preserve"> </w:t>
      </w:r>
      <w:r>
        <w:t xml:space="preserve">- ISO 20688-2:2024,</w:t>
      </w:r>
      <w:r>
        <w:t xml:space="preserve"> </w:t>
      </w:r>
      <w:r>
        <w:rPr>
          <w:i/>
        </w:rPr>
        <w:t xml:space="preserve">Biotechnology — Nucleic acid synthesis</w:t>
      </w:r>
      <w:r>
        <w:t xml:space="preserve"> </w:t>
      </w:r>
      <w:r>
        <w:t xml:space="preserve">(biosecurity provisions).</w:t>
      </w:r>
    </w:p>
    <w:p>
      <w:pPr>
        <w:pStyle w:val="BodyText"/>
      </w:pPr>
      <w:r>
        <w:rPr>
          <w:b/>
        </w:rPr>
        <w:t xml:space="preserve">Scientific literature</w:t>
      </w:r>
      <w:r>
        <w:t xml:space="preserve"> </w:t>
      </w:r>
      <w:r>
        <w:t xml:space="preserve">- Kim, J., Kim, H., &amp; Bang, D. (2024). An open-source, 3D printed inkjet DNA synthesizer.</w:t>
      </w:r>
      <w:r>
        <w:t xml:space="preserve"> </w:t>
      </w:r>
      <w:r>
        <w:rPr>
          <w:i/>
        </w:rPr>
        <w:t xml:space="preserve">Scientific Reports</w:t>
      </w:r>
      <w:r>
        <w:t xml:space="preserve">, 14, 3773. https://doi.org/10.1038/s41598-024-53944-x</w:t>
      </w:r>
      <w:r>
        <w:t xml:space="preserve"> </w:t>
      </w:r>
      <w:r>
        <w:t xml:space="preserve">- Wittmann, B. J., Alexanian, T., Bartling, C., et al. (2025). Strengthening nucleic acid biosecurity screening against generative protein design tools.</w:t>
      </w:r>
      <w:r>
        <w:t xml:space="preserve"> </w:t>
      </w:r>
      <w:r>
        <w:rPr>
          <w:i/>
        </w:rPr>
        <w:t xml:space="preserve">Science</w:t>
      </w:r>
      <w:r>
        <w:t xml:space="preserve">, 390(6768), 82–87. https://doi.org/10.1126/science.adu8578</w:t>
      </w:r>
      <w:r>
        <w:t xml:space="preserve"> </w:t>
      </w:r>
      <w:r>
        <w:t xml:space="preserve">- Laird, T. S., et al. (2025). Inter-tool Analysis of a NIST Dataset for Assessing Baseline Nucleic Acid Sequence Screening.</w:t>
      </w:r>
      <w:r>
        <w:t xml:space="preserve"> </w:t>
      </w:r>
      <w:r>
        <w:rPr>
          <w:i/>
        </w:rPr>
        <w:t xml:space="preserve">Applied Biosafety</w:t>
      </w:r>
      <w:r>
        <w:t xml:space="preserve">. https://doi.org/10.1177/15356760251401228</w:t>
      </w:r>
    </w:p>
    <w:p>
      <w:pPr>
        <w:pStyle w:val="BodyText"/>
      </w:pPr>
      <w:r>
        <w:rPr>
          <w:b/>
        </w:rPr>
        <w:t xml:space="preserve">Grey literature</w:t>
      </w:r>
      <w:r>
        <w:t xml:space="preserve"> </w:t>
      </w:r>
      <w:r>
        <w:t xml:space="preserve">- Institute for Progress (2024).</w:t>
      </w:r>
      <w:r>
        <w:t xml:space="preserve"> </w:t>
      </w:r>
      <w:r>
        <w:rPr>
          <w:i/>
        </w:rPr>
        <w:t xml:space="preserve">Securing Benchtop DNA Synthesizers.</w:t>
      </w:r>
      <w:r>
        <w:t xml:space="preserve"> </w:t>
      </w:r>
      <w:r>
        <w:t xml:space="preserve">https://ifp.org/securing-benchtop-dna-synthesizers/</w:t>
      </w:r>
      <w:r>
        <w:t xml:space="preserve"> </w:t>
      </w:r>
      <w:r>
        <w:t xml:space="preserve">- Nuclear Threat Initiative (NTI | bio). Reports on benchtop DNA synthesis governance. https://www.nti.org/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2026-07-23T12:29:35Z</dcterms:created>
  <dcterms:modified xsi:type="dcterms:W3CDTF">2026-07-23T12:29:35Z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