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5F"/>
          <w:sz w:val="20"/>
        </w:rPr>
        <w:t>Chapter 3 — Cost &amp; Accessibility Trajectories</w:t>
      </w:r>
    </w:p>
    <w:p>
      <w:pPr>
        <w:spacing w:after="120"/>
      </w:pPr>
      <w:r>
        <w:rPr>
          <w:b/>
          <w:sz w:val="20"/>
        </w:rPr>
        <w:t>Predictive Cost Modeling with Explicit Uncertainty and Conditional Language</w:t>
      </w:r>
    </w:p>
    <w:p>
      <w:pPr>
        <w:spacing w:after="120"/>
      </w:pPr>
      <w:r>
        <w:rPr>
          <w:sz w:val="20"/>
        </w:rPr>
        <w:t>*Scope: Learning-curve modeling of DIY/benchtop synthesis accessibility (OpenIDS, electrochemical, enzymatic) to 2030. Method: Experience-curve reasoning by analogy (DNA sequencing; commercial synthesis cost-per-base), expressed as scenario annual-decline rates with confidence bands and TRL gating.*</w:t>
      </w:r>
    </w:p>
    <w:p>
      <w:pPr>
        <w:spacing w:after="120"/>
      </w:pPr>
      <w:r>
        <w:rPr>
          <w:b/>
          <w:sz w:val="20"/>
        </w:rPr>
        <w:t>Two framing notes that govern the whole chapter.</w:t>
      </w:r>
      <w:r>
        <w:rPr>
          <w:sz w:val="20"/>
        </w:rPr>
        <w:t xml:space="preserve"> *Scenario rates, not mechanical fits.* We express projections as assumed annual cost-decline rates (e.g., ~5% / ~8% / ~15%), informed by analog learning rates but not mechanically derived from Wright's law — DIY build volumes are unknown, so we use annual-decline scenarios and say so. *TRL gate.* Cost projections are only meaningful for approaches that actually work at benchtop scale. For TRL ≤ 3 technologies (electrochemical), cost is undefined and we model maturation first, cost second and only conditionally.</w:t>
      </w:r>
    </w:p>
    <w:p>
      <w:pPr>
        <w:pStyle w:val="Heading2"/>
      </w:pPr>
      <w:r>
        <w:rPr>
          <w:color w:val="1F3A5F"/>
          <w:sz w:val="20"/>
        </w:rPr>
        <w:t>Executive summary</w:t>
      </w:r>
    </w:p>
    <w:p>
      <w:pPr>
        <w:spacing w:after="120"/>
      </w:pPr>
      <w:r>
        <w:rPr>
          <w:sz w:val="20"/>
        </w:rPr>
        <w:t>This chapter develops cost/accessibility forecasts for DIY and benchtop synthesis through 2030, using sequencing and commercial-synthesis cost histories as analogs. No point estimates are given; all forecasts are ranges with conditional language.</w:t>
      </w:r>
    </w:p>
    <w:p>
      <w:pPr>
        <w:spacing w:after="120"/>
      </w:pPr>
      <w:r>
        <w:rPr>
          <w:b/>
          <w:sz w:val="20"/>
        </w:rPr>
        <w:t>Key findings:</w:t>
      </w:r>
    </w:p>
    <w:p>
      <w:pPr>
        <w:spacing w:after="120"/>
      </w:pPr>
      <w:r>
        <w:rPr>
          <w:sz w:val="20"/>
        </w:rPr>
        <w:t xml:space="preserve">1. </w:t>
      </w:r>
      <w:r>
        <w:rPr>
          <w:b/>
          <w:sz w:val="20"/>
        </w:rPr>
        <w:t>OpenIDS (HIGH-confidence anchor, MEDIUM projection):</w:t>
      </w:r>
      <w:r>
        <w:rPr>
          <w:sz w:val="20"/>
        </w:rPr>
        <w:t xml:space="preserve"> $19.9K (2024) → ~$16.8K (2026, base) → ~$12.1K (2030, base) if community iteration continues. Crosses &lt;$15K around 2027 (base); &lt;$10K is a ~2028 optimistic / ~2032 base prospect — not a base-case-2020s certainty.</w:t>
      </w:r>
    </w:p>
    <w:p>
      <w:pPr>
        <w:spacing w:after="120"/>
      </w:pPr>
      <w:r>
        <w:rPr>
          <w:sz w:val="20"/>
        </w:rPr>
        <w:t xml:space="preserve">2. </w:t>
      </w:r>
      <w:r>
        <w:rPr>
          <w:b/>
          <w:sz w:val="20"/>
        </w:rPr>
        <w:t>Electrochemical (LOW confidence, TRL-gated):</w:t>
      </w:r>
      <w:r>
        <w:rPr>
          <w:sz w:val="20"/>
        </w:rPr>
        <w:t xml:space="preserve"> cost is undefined at the current TRL 3; projections become meaningful only if/when it reaches TRL 4 (~2028–2030, uncertain).</w:t>
      </w:r>
    </w:p>
    <w:p>
      <w:pPr>
        <w:spacing w:after="120"/>
      </w:pPr>
      <w:r>
        <w:rPr>
          <w:sz w:val="20"/>
        </w:rPr>
        <w:t xml:space="preserve">3. </w:t>
      </w:r>
      <w:r>
        <w:rPr>
          <w:b/>
          <w:sz w:val="20"/>
        </w:rPr>
        <w:t>Enzymatic benchtop:</w:t>
      </w:r>
      <w:r>
        <w:rPr>
          <w:sz w:val="20"/>
        </w:rPr>
        <w:t xml:space="preserve"> commercial-only; </w:t>
      </w:r>
      <w:r>
        <w:rPr>
          <w:color w:val="C00000"/>
          <w:sz w:val="20"/>
        </w:rPr>
        <w:t>~$270–303K now (DNA Script SYNTAX vendor quote, 2026; IFP 2024 $292K corroborates)</w:t>
      </w:r>
      <w:r>
        <w:rPr>
          <w:sz w:val="20"/>
        </w:rPr>
        <w:t>, and IFP (2024) models a 5-kb-capable benchtop at a 2030 distribution peaking near ~$190K (25th–75th-percentile ~$112–298K, 2024 USD). No credible DIY pathway by 2030.</w:t>
      </w:r>
    </w:p>
    <w:p>
      <w:pPr>
        <w:spacing w:after="120"/>
      </w:pPr>
      <w:r>
        <w:rPr>
          <w:sz w:val="20"/>
        </w:rPr>
        <w:t xml:space="preserve">4. </w:t>
      </w:r>
      <w:r>
        <w:rPr>
          <w:b/>
          <w:sz w:val="20"/>
        </w:rPr>
        <w:t>Scenarios:</w:t>
      </w:r>
      <w:r>
        <w:rPr>
          <w:sz w:val="20"/>
        </w:rPr>
        <w:t xml:space="preserve"> an R&amp;D stall delays electrochemical TRL advance by ~2–3 years; acceleration could reach TRL 4 by ~2027.</w:t>
      </w:r>
    </w:p>
    <w:p>
      <w:pPr>
        <w:spacing w:after="120"/>
      </w:pPr>
      <w:r>
        <w:rPr>
          <w:b/>
          <w:sz w:val="20"/>
        </w:rPr>
        <w:t>Central caveat:</w:t>
      </w:r>
      <w:r>
        <w:rPr>
          <w:sz w:val="20"/>
        </w:rPr>
        <w:t xml:space="preserve"> these learning curves come from technologies with large competitive markets (sequencing) that DIY synthesis lacks. Read them as "if current trajectories persist," not "will."</w:t>
      </w:r>
    </w:p>
    <w:p>
      <w:pPr>
        <w:pStyle w:val="Heading2"/>
      </w:pPr>
      <w:r>
        <w:rPr>
          <w:color w:val="1F3A5F"/>
          <w:sz w:val="20"/>
        </w:rPr>
        <w:t>1. Method: learning curves and their limits</w:t>
      </w:r>
    </w:p>
    <w:p>
      <w:pPr>
        <w:spacing w:after="120"/>
      </w:pPr>
      <w:r>
        <w:rPr>
          <w:sz w:val="20"/>
        </w:rPr>
        <w:t>Experience curves (Wright, 1936) describe cost falling with cumulative production: Cost = C₀ · Q^(−b), where Q is cumulative volume and b is the learning elasticity. We use b only to characterize the analogs; our DIY projections are stated as annual-decline scenarios because DIY cumulative volume is unknown.</w:t>
      </w:r>
    </w:p>
    <w:p>
      <w:pPr>
        <w:spacing w:after="120"/>
      </w:pPr>
      <w:r>
        <w:rPr>
          <w:b/>
          <w:sz w:val="20"/>
        </w:rPr>
        <w:t>Why by analogy, and why cautiously.</w:t>
      </w:r>
      <w:r>
        <w:rPr>
          <w:sz w:val="20"/>
        </w:rPr>
        <w:t xml:space="preserve"> Nagy, Farmer, Bui &amp; Trancik (2013), testing six forecasting models across 62 technologies, found Wright's law forecasts best but only marginally better than Moore's law, and that forecast error grows with horizon (~2.5% per year of horizon). Lafond et al. (2018) develop distributional forecasts showing experience-curve error increases substantially as the horizon lengthens. We therefore (a) transfer analog rates only as bounded scenarios, (b) never give single-year point forecasts, and (c) TRL-gate approaches that don't yet work.</w:t>
      </w:r>
    </w:p>
    <w:p>
      <w:pPr>
        <w:pStyle w:val="Heading2"/>
      </w:pPr>
      <w:r>
        <w:rPr>
          <w:color w:val="1F3A5F"/>
          <w:sz w:val="20"/>
        </w:rPr>
        <w:t>2. Analog curves: data and transfer logic</w:t>
      </w:r>
    </w:p>
    <w:p>
      <w:pPr>
        <w:pStyle w:val="Heading3"/>
      </w:pPr>
      <w:r>
        <w:rPr>
          <w:color w:val="1F3A5F"/>
          <w:sz w:val="20"/>
        </w:rPr>
        <w:t>2.1 DNA sequencing cost (NHGRI, 2001–2022)</w:t>
      </w:r>
    </w:p>
    <w:p>
      <w:pPr>
        <w:spacing w:after="120"/>
      </w:pPr>
      <w:r>
        <w:rPr>
          <w:sz w:val="20"/>
        </w:rPr>
        <w:t>Source: Wetterstrand, DNA Sequencing Costs (NHGRI GSP; NHGRI ceased updates in 2022). Milestone cost per genome (approximate; curve shape only):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20"/>
              </w:rPr>
              <w:t>Year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20"/>
              </w:rPr>
              <w:t>Cost per genome (approx.)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20"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2001 (Sept)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~$95M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start of NHGRI tracking (Sanger)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2007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~$10M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pre-NGS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2008 (Oct)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~$0.75M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next-gen inflection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2010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~$50K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NGS platforms maturing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2015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~$4K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approaching the "$1,000 genome" era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2022 (last update)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few-hundred to ~$1K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plateau</w:t>
            </w:r>
          </w:p>
        </w:tc>
      </w:tr>
    </w:tbl>
    <w:p/>
    <w:p>
      <w:pPr>
        <w:spacing w:after="120"/>
      </w:pPr>
      <w:r>
        <w:rPr>
          <w:sz w:val="20"/>
        </w:rPr>
        <w:t xml:space="preserve">Learning rate (NGS era, ~2008–2015): cost roughly halved every ~1.5–2 years (~30–40%/yr) in the steepest phase. Post-2015 the decline slowed markedly. Sequencing is only a </w:t>
      </w:r>
      <w:r>
        <w:rPr>
          <w:b/>
          <w:sz w:val="20"/>
        </w:rPr>
        <w:t>shape analog</w:t>
      </w:r>
      <w:r>
        <w:rPr>
          <w:sz w:val="20"/>
        </w:rPr>
        <w:t>, not a rate to transfer directly: it was pulled by a large clinical/research market and platform competition that DIY synthesis lacks. Treat sequencing's ~30–40%/yr as an optimistic upper bound only.</w:t>
      </w:r>
    </w:p>
    <w:p>
      <w:pPr>
        <w:pStyle w:val="Heading3"/>
      </w:pPr>
      <w:r>
        <w:rPr>
          <w:color w:val="1F3A5F"/>
          <w:sz w:val="20"/>
        </w:rPr>
        <w:t>2.2 Commercial synthesis cost-per-base (synthesis.cc)</w:t>
      </w:r>
    </w:p>
    <w:p>
      <w:pPr>
        <w:spacing w:after="120"/>
      </w:pPr>
      <w:r>
        <w:rPr>
          <w:sz w:val="20"/>
        </w:rPr>
        <w:t>Source: Carlson / Field, synthesis.cc.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20"/>
              </w:rPr>
              <w:t>Year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20"/>
              </w:rPr>
              <w:t>Cost/base (approx.)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20"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~2000s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tens of dollars → ~$1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column synthesis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2010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~$0.30–0.50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array synthesis emerging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2015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~$0.10–0.20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vendor competition (Twist, GenScript)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2020–2025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~$0.07–0.10 (plateau)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enzymatic entering as service; column service ~$0.30/bp</w:t>
            </w:r>
          </w:p>
        </w:tc>
      </w:tr>
    </w:tbl>
    <w:p/>
    <w:p>
      <w:pPr>
        <w:spacing w:after="120"/>
      </w:pPr>
      <w:r>
        <w:rPr>
          <w:b/>
          <w:sz w:val="20"/>
        </w:rPr>
        <w:t>Implication for DIY:</w:t>
      </w:r>
      <w:r>
        <w:rPr>
          <w:sz w:val="20"/>
        </w:rPr>
        <w:t xml:space="preserve"> commercial cost-per-base has plateaued (~$0.07/bp), and DIY per-base cost at small batch sizes is likely to remain several-fold higher. The DIY accessibility barrier is therefore capital cost (the ~$20K instrument), not per-base cost.</w:t>
      </w:r>
    </w:p>
    <w:p>
      <w:pPr>
        <w:pStyle w:val="Heading3"/>
      </w:pPr>
      <w:r>
        <w:rPr>
          <w:color w:val="1F3A5F"/>
          <w:sz w:val="20"/>
        </w:rPr>
        <w:t>2.3 Benchtop synthesizer projection (IFP, 2024)</w:t>
      </w:r>
    </w:p>
    <w:p>
      <w:pPr>
        <w:spacing w:after="120"/>
      </w:pPr>
      <w:r>
        <w:rPr>
          <w:sz w:val="20"/>
        </w:rPr>
        <w:t>Source: Institute for Progress (2024), Securing Benchtop DNA Synthesizers. IFP's probabilistic model for a 5-kb-capable benchtop in 2030: the predicted cost distribution peaks near ~$190K (2024 USD; the density peak, not the median), with a 25th–75th-percentile range of ~$112K–$298K. An independent comparator for the commercial (non-DIY) trajectory; a projection, not historical data.</w:t>
      </w:r>
    </w:p>
    <w:p>
      <w:pPr>
        <w:pStyle w:val="Heading2"/>
      </w:pPr>
      <w:r>
        <w:rPr>
          <w:color w:val="1F3A5F"/>
          <w:sz w:val="20"/>
        </w:rPr>
        <w:t>3. From analogs to scenarios</w:t>
      </w:r>
    </w:p>
    <w:p>
      <w:pPr>
        <w:pStyle w:val="Heading3"/>
      </w:pPr>
      <w:r>
        <w:rPr>
          <w:color w:val="1F3A5F"/>
          <w:sz w:val="20"/>
        </w:rPr>
        <w:t>3.1 Analog learning rates (characterization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20"/>
              </w:rPr>
              <w:t>Domain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20"/>
              </w:rPr>
              <w:t>Period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20"/>
              </w:rPr>
              <w:t>Halving time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20"/>
              </w:rPr>
              <w:t>Annual decline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Sequencing (NGS)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~2008–2015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~1.5–2 yr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~30–40%/yr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large market + platform competition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Synthesis cost/base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~2003–2015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~4–6 yr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~12–18%/yr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slowed sharply after ~2015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Benchtop (IFP proj.)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2024–2030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~3–5%/yr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20"/>
              </w:rPr>
              <w:t>projection, not historical</w:t>
            </w:r>
          </w:p>
        </w:tc>
      </w:tr>
    </w:tbl>
    <w:p/>
    <w:p>
      <w:pPr>
        <w:pStyle w:val="Heading3"/>
      </w:pPr>
      <w:r>
        <w:rPr>
          <w:color w:val="1F3A5F"/>
          <w:sz w:val="20"/>
        </w:rPr>
        <w:t>3.2 DIY scenarios: borrow-and-hedge</w:t>
      </w:r>
    </w:p>
    <w:p>
      <w:pPr>
        <w:spacing w:after="120"/>
      </w:pPr>
      <w:r>
        <w:rPr>
          <w:sz w:val="20"/>
        </w:rPr>
        <w:t>For OpenIDS (the only real DIY system with a cost anchor), we define three annual-decline scenarios, informed by but deliberately more conservative than the commercial-synthesis analog (~12–18%/yr) — because DIY lacks the market drivers that produced those declines.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Approach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Conservative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Base case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Optimistic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OpenIDS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~5%/yr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~8%/yr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~15%/yr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Electrochemical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not applicable — TRL 3 (cost undefined)</w:t>
            </w:r>
          </w:p>
        </w:tc>
        <w:tc>
          <w:tcPr>
            <w:tcW w:type="dxa" w:w="2160"/>
          </w:tcPr>
          <w:p>
            <w:pPr>
              <w:spacing w:after="0"/>
            </w:pPr>
          </w:p>
        </w:tc>
        <w:tc>
          <w:tcPr>
            <w:tcW w:type="dxa" w:w="2160"/>
          </w:tcPr>
          <w:p>
            <w:pPr>
              <w:spacing w:after="0"/>
            </w:pP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Enzymatic benchtop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IFP pessimistic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IFP peak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IFP optimistic</w:t>
            </w:r>
          </w:p>
        </w:tc>
      </w:tr>
    </w:tbl>
    <w:p/>
    <w:p>
      <w:pPr>
        <w:spacing w:after="120"/>
      </w:pPr>
      <w:r>
        <w:rPr>
          <w:sz w:val="20"/>
        </w:rPr>
        <w:t>Rationale: OpenIDS has a 2024 anchor ($19.9K); electrochemical has no benchtop system, so any cost curve would be false precision.</w:t>
      </w:r>
    </w:p>
    <w:p>
      <w:pPr>
        <w:pStyle w:val="Heading2"/>
      </w:pPr>
      <w:r>
        <w:rPr>
          <w:color w:val="1F3A5F"/>
          <w:sz w:val="20"/>
        </w:rPr>
        <w:t>4. Cost projections (2024–2030)</w:t>
      </w:r>
    </w:p>
    <w:p>
      <w:pPr>
        <w:pStyle w:val="Heading3"/>
      </w:pPr>
      <w:r>
        <w:rPr>
          <w:color w:val="1F3A5F"/>
          <w:sz w:val="20"/>
        </w:rPr>
        <w:t>4.1 OpenIDS (HIGH anchor, MEDIUM projection)</w:t>
      </w:r>
    </w:p>
    <w:p>
      <w:pPr>
        <w:spacing w:after="120"/>
      </w:pPr>
      <w:r>
        <w:rPr>
          <w:b/>
          <w:sz w:val="20"/>
        </w:rPr>
        <w:t>Anchor:</w:t>
      </w:r>
      <w:r>
        <w:rPr>
          <w:sz w:val="20"/>
        </w:rPr>
        <w:t xml:space="preserve"> Kim, Kim &amp; Bang (2024) built OpenIDS for $19,900. Projection (annual-decline scenarios, computed from the $19.9K anchor):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Year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Conservative (~5%/yr)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Base (~8%/yr)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Optimistic (~15%/yr)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2024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$19.9K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$19.9K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$19.9K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2026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$18.0K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$16.8K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$14.4K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2028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$16.2K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$14.3K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$10.4K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2030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$14.6K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$12.1K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$7.5K</w:t>
            </w:r>
          </w:p>
        </w:tc>
      </w:tr>
    </w:tbl>
    <w:p/>
    <w:p>
      <w:pPr>
        <w:spacing w:after="120"/>
      </w:pPr>
      <w:r>
        <w:rPr>
          <w:b/>
          <w:sz w:val="20"/>
        </w:rPr>
        <w:t>Interpretation:</w:t>
      </w:r>
      <w:r>
        <w:rPr>
          <w:sz w:val="20"/>
        </w:rPr>
        <w:t xml:space="preserve"> base case &lt;$15K by ~2027; ~$12K by 2030 — conditional on sustained community iteration, stable supply, and continued interest. </w:t>
      </w:r>
      <w:r>
        <w:rPr>
          <w:b/>
          <w:sz w:val="20"/>
        </w:rPr>
        <w:t>Quality caveat:</w:t>
      </w:r>
      <w:r>
        <w:rPr>
          <w:sz w:val="20"/>
        </w:rPr>
        <w:t xml:space="preserve"> these are capital-cost projections and say nothing about synthesis quality (error rate, length).</w:t>
      </w:r>
    </w:p>
    <w:p>
      <w:pPr>
        <w:pStyle w:val="Heading3"/>
      </w:pPr>
      <w:r>
        <w:rPr>
          <w:color w:val="1F3A5F"/>
          <w:sz w:val="20"/>
        </w:rPr>
        <w:t>4.2 Electrochemical (LOW confidence, TRL-gated)</w:t>
      </w:r>
    </w:p>
    <w:p>
      <w:pPr>
        <w:spacing w:after="120"/>
      </w:pPr>
      <w:r>
        <w:rPr>
          <w:b/>
          <w:sz w:val="20"/>
        </w:rPr>
        <w:t>Anchor:</w:t>
      </w:r>
      <w:r>
        <w:rPr>
          <w:sz w:val="20"/>
        </w:rPr>
        <w:t xml:space="preserve"> Xu et al. (2021, Science Advances 7(46):eabk0100) — proof-of-concept. Chapter 1 TRI: TRL 3. No independent replication and no DIY/benchtop instrument documented as of July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TRL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Confidence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3 (now)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proof-of-concept (single paper)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2021–2026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independent benchtop replication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2027–2029 if R&amp;D continues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DIY/benchtop prototype by non-authors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2028–2030 if TRL 4 reached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6–7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robust/commercial system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2030+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VERY LOW</w:t>
            </w:r>
          </w:p>
        </w:tc>
      </w:tr>
    </w:tbl>
    <w:p/>
    <w:p>
      <w:pPr>
        <w:spacing w:after="120"/>
      </w:pPr>
      <w:r>
        <w:rPr>
          <w:sz w:val="20"/>
        </w:rPr>
        <w:t>Cost: undefined at TRL 3. If the technology reaches TRL 4 (~2028–2030), a single LOW-confidence range of roughly $8–15K is plausible — but no benchtop exists to measure, so any figure is a placeholder pending an actual demonstration.</w:t>
      </w:r>
    </w:p>
    <w:p>
      <w:pPr>
        <w:pStyle w:val="Heading3"/>
      </w:pPr>
      <w:r>
        <w:rPr>
          <w:color w:val="1F3A5F"/>
          <w:sz w:val="20"/>
        </w:rPr>
        <w:t>4.3 Enzymatic benchtop (commercial benchmark)</w:t>
      </w:r>
    </w:p>
    <w:p>
      <w:pPr>
        <w:spacing w:after="120"/>
      </w:pPr>
      <w:r>
        <w:rPr>
          <w:color w:val="C00000"/>
          <w:sz w:val="20"/>
        </w:rPr>
        <w:t>The DNA Script SYNTAX benchtop is ~$270–303K (vendor quote, 2026; IFP 2024 STX-200 $292K corroborates) and is not a DIY platform (Ansa is a synthesis service, not a benchtop you buy).</w:t>
      </w:r>
      <w:r>
        <w:rPr>
          <w:sz w:val="20"/>
        </w:rPr>
        <w:t xml:space="preserve"> A DIY enzymatic benchtop is unlikely by 2030: it needs an engineered TdT enzyme (proprietary, multi-year leads), complex control, and QC. Recent enzymatic-synthesis optimization work (Wu et al., 2025, AutoDNA, arXiv:2507.02379) indicates coupling conditions, enzyme concentration, and blocking chemistry remain active R&amp;D with no DIY-ready solution. </w:t>
      </w:r>
      <w:r>
        <w:rPr>
          <w:b/>
          <w:sz w:val="20"/>
        </w:rPr>
        <w:t>Expected 2030 outcome:</w:t>
      </w:r>
      <w:r>
        <w:rPr>
          <w:sz w:val="20"/>
        </w:rPr>
        <w:t xml:space="preserve"> service-only (~$300/synthesis) or commercial benchtop, not DIY.</w:t>
      </w:r>
    </w:p>
    <w:p>
      <w:pPr>
        <w:pStyle w:val="Heading2"/>
      </w:pPr>
      <w:r>
        <w:rPr>
          <w:color w:val="1F3A5F"/>
          <w:sz w:val="20"/>
        </w:rPr>
        <w:t>5. Scenario &amp; sensitivity analysis</w:t>
      </w:r>
    </w:p>
    <w:p>
      <w:pPr>
        <w:pStyle w:val="Heading3"/>
      </w:pPr>
      <w:r>
        <w:rPr>
          <w:color w:val="1F3A5F"/>
          <w:sz w:val="20"/>
        </w:rPr>
        <w:t>5.1 Three R&amp;D scenarios (2026–2030)</w:t>
      </w:r>
    </w:p>
    <w:p>
      <w:pPr>
        <w:spacing w:after="120"/>
      </w:pPr>
      <w:r>
        <w:rPr>
          <w:b/>
          <w:sz w:val="20"/>
        </w:rPr>
        <w:t>A — Accelerates:</w:t>
      </w:r>
      <w:r>
        <w:rPr>
          <w:sz w:val="20"/>
        </w:rPr>
        <w:t xml:space="preserve"> community iteration rises; electrochemical reaches TRL 4 ~2027, TRL 5 ~2028. </w:t>
      </w:r>
      <w:r>
        <w:rPr>
          <w:b/>
          <w:sz w:val="20"/>
        </w:rPr>
        <w:t>B — Continues (base):</w:t>
      </w:r>
      <w:r>
        <w:rPr>
          <w:sz w:val="20"/>
        </w:rPr>
        <w:t xml:space="preserve"> OpenIDS iterates at academic pace; electrochemical stays TRL 3 through 2030; enzymatic stays commercial. </w:t>
      </w:r>
      <w:r>
        <w:rPr>
          <w:b/>
          <w:sz w:val="20"/>
        </w:rPr>
        <w:t>C — Stalls:</w:t>
      </w:r>
      <w:r>
        <w:rPr>
          <w:sz w:val="20"/>
        </w:rPr>
        <w:t xml:space="preserve"> open-source momentum fades; only commercial systems improve.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Approach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A (accelerates)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B (continues)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0"/>
              </w:rPr>
              <w:t>C (stalls)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OpenIDS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$7.5K (opt.)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$12.1K (base)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$14.6K (cons.)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Electrochemical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$8–12K* (TRL 5)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TRL 3 — undefined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TRL 3 — undefined (delayed)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Enzymatic benchtop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color w:val="C00000"/>
                <w:sz w:val="20"/>
              </w:rPr>
              <w:t>~$112K (IFP 25th pct)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color w:val="C00000"/>
                <w:sz w:val="20"/>
              </w:rPr>
              <w:t>~$190K (IFP mode)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color w:val="C00000"/>
                <w:sz w:val="20"/>
              </w:rPr>
              <w:t>~$298K (IFP 75th pct)</w:t>
            </w:r>
          </w:p>
        </w:tc>
      </w:tr>
    </w:tbl>
    <w:p/>
    <w:p>
      <w:pPr>
        <w:spacing w:after="120"/>
      </w:pPr>
      <w:r>
        <w:rPr>
          <w:sz w:val="20"/>
        </w:rPr>
        <w:t xml:space="preserve">*Valid only if the required TRL advance occurs; undefined at TRL 3. </w:t>
      </w:r>
      <w:r>
        <w:rPr>
          <w:color w:val="C00000"/>
          <w:sz w:val="20"/>
        </w:rPr>
        <w:t>Enzymatic scenarios now track the IFP 2030 distribution ($112–298K), consistent with the ~$292K present-day instrument price.</w:t>
      </w:r>
      <w:r>
        <w:rPr>
          <w:sz w:val="20"/>
        </w:rPr>
        <w:t>*</w:t>
      </w:r>
    </w:p>
    <w:p>
      <w:pPr>
        <w:pStyle w:val="Heading3"/>
      </w:pPr>
      <w:r>
        <w:rPr>
          <w:color w:val="1F3A5F"/>
          <w:sz w:val="20"/>
        </w:rPr>
        <w:t>5.2 Sensitivity drivers (qualitative)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20"/>
              </w:rPr>
              <w:t>Driver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20"/>
              </w:rPr>
              <w:t>Effect on timeline/cost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Electrochemical R&amp;D funding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±2–3 yr to TRL 4 (highest-impact variable)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OpenIDS community size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±~$3–5K on 2028–2030 cost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Commercial-benchtop competition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large swing on commercial price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On-device screening mandate (R1)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20"/>
              </w:rPr>
              <w:t>modest added R&amp;D/compliance cost for regulated devices</w:t>
            </w:r>
          </w:p>
        </w:tc>
      </w:tr>
    </w:tbl>
    <w:p/>
    <w:p>
      <w:pPr>
        <w:pStyle w:val="Heading3"/>
      </w:pPr>
      <w:r>
        <w:rPr>
          <w:color w:val="1F3A5F"/>
          <w:sz w:val="20"/>
        </w:rPr>
        <w:t>5.3 Threshold crossings (ranges, not point dates)</w:t>
      </w:r>
    </w:p>
    <w:p>
      <w:pPr>
        <w:spacing w:after="120"/>
      </w:pPr>
      <w:r>
        <w:rPr>
          <w:b/>
          <w:sz w:val="20"/>
        </w:rPr>
        <w:t>&lt;$15K (well-funded-lab access):</w:t>
      </w:r>
      <w:r>
        <w:rPr>
          <w:sz w:val="20"/>
        </w:rPr>
        <w:t xml:space="preserve"> OpenIDS ~2027 (base), 2026–2030 across scenarios; electrochemical never if TRL stalls, ~2029–2030 if TRL 4 by ~2027; enzymatic benchtop DIY not by 2030. </w:t>
      </w:r>
      <w:r>
        <w:rPr>
          <w:b/>
          <w:sz w:val="20"/>
        </w:rPr>
        <w:t>&lt;$10K (commodity-instrument level):</w:t>
      </w:r>
      <w:r>
        <w:rPr>
          <w:sz w:val="20"/>
        </w:rPr>
        <w:t xml:space="preserve"> OpenIDS ~2032 (base), ~2028 (optimistic); electrochemical not before ~2035 (conservative), 2028–2029 (optimistic, conditional).</w:t>
      </w:r>
    </w:p>
    <w:p>
      <w:pPr>
        <w:pStyle w:val="Heading2"/>
      </w:pPr>
      <w:r>
        <w:rPr>
          <w:color w:val="1F3A5F"/>
          <w:sz w:val="20"/>
        </w:rPr>
        <w:t>6. Forecast summary (as ranges)</w:t>
      </w:r>
    </w:p>
    <w:p>
      <w:pPr>
        <w:spacing w:after="120"/>
      </w:pPr>
      <w:r>
        <w:rPr>
          <w:b/>
          <w:sz w:val="20"/>
        </w:rPr>
        <w:t>OpenIDS &lt;$15K:</w:t>
      </w:r>
      <w:r>
        <w:rPr>
          <w:sz w:val="20"/>
        </w:rPr>
        <w:t xml:space="preserve"> most likely ~2027 (base, MEDIUM); range 2026–2030. </w:t>
      </w:r>
      <w:r>
        <w:rPr>
          <w:b/>
          <w:sz w:val="20"/>
        </w:rPr>
        <w:t>&lt;$10K:</w:t>
      </w:r>
      <w:r>
        <w:rPr>
          <w:sz w:val="20"/>
        </w:rPr>
        <w:t xml:space="preserve"> ~2028 optimistic, ~2032 base — not a base-case-2020s event. </w:t>
      </w:r>
      <w:r>
        <w:rPr>
          <w:b/>
          <w:sz w:val="20"/>
        </w:rPr>
        <w:t>Electrochemical:</w:t>
      </w:r>
      <w:r>
        <w:rPr>
          <w:sz w:val="20"/>
        </w:rPr>
        <w:t xml:space="preserve"> TRL 4 ~2027–2029 if R&amp;D accelerates (LOW); cost undefined until then. </w:t>
      </w:r>
      <w:r>
        <w:rPr>
          <w:b/>
          <w:sz w:val="20"/>
        </w:rPr>
        <w:t>Enzymatic DIY:</w:t>
      </w:r>
      <w:r>
        <w:rPr>
          <w:sz w:val="20"/>
        </w:rPr>
        <w:t xml:space="preserve"> unlikely before ~2032–2035 (VERY LOW); remains service/commercial. </w:t>
      </w:r>
      <w:r>
        <w:rPr>
          <w:b/>
          <w:sz w:val="20"/>
        </w:rPr>
        <w:t>Hedge:</w:t>
      </w:r>
      <w:r>
        <w:rPr>
          <w:sz w:val="20"/>
        </w:rPr>
        <w:t xml:space="preserve"> all cost projections assume sustained R&amp;D and interest — drivers that did not exist for DIY synthesis the way they did for sequencing.</w:t>
      </w:r>
    </w:p>
    <w:p>
      <w:pPr>
        <w:pStyle w:val="Heading2"/>
      </w:pPr>
      <w:r>
        <w:rPr>
          <w:color w:val="1F3A5F"/>
          <w:sz w:val="20"/>
        </w:rPr>
        <w:t>7. Confidence &amp; structural uncertainty</w:t>
      </w:r>
    </w:p>
    <w:p>
      <w:pPr>
        <w:spacing w:after="120"/>
      </w:pPr>
      <w:r>
        <w:rPr>
          <w:b/>
          <w:sz w:val="20"/>
        </w:rPr>
        <w:t>HIGH:</w:t>
      </w:r>
      <w:r>
        <w:rPr>
          <w:sz w:val="20"/>
        </w:rPr>
        <w:t xml:space="preserve"> OpenIDS 2024 anchor; electrochemical TRL-3 status; current enzymatic commercial pricing. </w:t>
      </w:r>
      <w:r>
        <w:rPr>
          <w:b/>
          <w:sz w:val="20"/>
        </w:rPr>
        <w:t>MEDIUM:</w:t>
      </w:r>
      <w:r>
        <w:rPr>
          <w:sz w:val="20"/>
        </w:rPr>
        <w:t xml:space="preserve"> OpenIDS trajectory; scenario timelines. </w:t>
      </w:r>
      <w:r>
        <w:rPr>
          <w:b/>
          <w:sz w:val="20"/>
        </w:rPr>
        <w:t>LOW:</w:t>
      </w:r>
      <w:r>
        <w:rPr>
          <w:sz w:val="20"/>
        </w:rPr>
        <w:t xml:space="preserve"> electrochemical cost (any scenario); enzymatic DIY. Model-class uncertainty (Nagy et al. 2013; Lafond et al. 2018): forecast error grows ~2.5% per year of horizon, so we report ranges rather than point forecasts.</w:t>
      </w:r>
    </w:p>
    <w:p>
      <w:pPr>
        <w:pStyle w:val="Heading2"/>
      </w:pPr>
      <w:r>
        <w:rPr>
          <w:color w:val="1F3A5F"/>
          <w:sz w:val="20"/>
        </w:rPr>
        <w:t>8. Implications for R1 governance</w:t>
      </w:r>
    </w:p>
    <w:p>
      <w:pPr>
        <w:spacing w:after="120"/>
      </w:pPr>
      <w:r>
        <w:rPr>
          <w:b/>
          <w:sz w:val="20"/>
        </w:rPr>
        <w:t>If OpenIDS reaches ~$12K by 2030 (base) / ~$10K optimistically by ~2028:</w:t>
      </w:r>
      <w:r>
        <w:rPr>
          <w:sz w:val="20"/>
        </w:rPr>
        <w:t xml:space="preserve"> it becomes affordable to small labs/startups, and on-device screening (if it applies to DIY devices) becomes the key control point. </w:t>
      </w:r>
      <w:r>
        <w:rPr>
          <w:b/>
          <w:sz w:val="20"/>
        </w:rPr>
        <w:t>If electrochemical stays TRL 3 through 2030:</w:t>
      </w:r>
      <w:r>
        <w:rPr>
          <w:sz w:val="20"/>
        </w:rPr>
        <w:t xml:space="preserve"> the policy gap persists; it becomes a concern only if TRL 4 is demonstrated (post-2028). </w:t>
      </w:r>
      <w:r>
        <w:rPr>
          <w:b/>
          <w:sz w:val="20"/>
        </w:rPr>
        <w:t>If enzymatic stays commercial-only (expected):</w:t>
      </w:r>
      <w:r>
        <w:rPr>
          <w:sz w:val="20"/>
        </w:rPr>
        <w:t xml:space="preserve"> R1 strengthens control (centralized, screened providers).</w:t>
      </w:r>
    </w:p>
    <w:p>
      <w:pPr>
        <w:pStyle w:val="Heading2"/>
      </w:pPr>
      <w:r>
        <w:rPr>
          <w:color w:val="1F3A5F"/>
          <w:sz w:val="20"/>
        </w:rPr>
        <w:t>9. Conclusion</w:t>
      </w:r>
    </w:p>
    <w:p>
      <w:pPr>
        <w:spacing w:after="120"/>
      </w:pPr>
      <w:r>
        <w:rPr>
          <w:sz w:val="20"/>
        </w:rPr>
        <w:t>DIY synthesis accessibility is, for now, a story about one system (OpenIDS) with a real cost anchor and a conditional downward trajectory, plus one conditional-future technology (electrochemical) whose cost is undefined until it works, plus a commercial-only enzymatic segment. OpenIDS likely crosses &lt;$15K around 2026–2027 (base ~2027) and &lt;$10K around 2028 (optimistic) / 2032 (base) if momentum holds; electrochemical is a post-2028 maybe; enzymatic DIY is not a 2030 story. Every one of these is conditional on R&amp;D that DIY synthesis is not guaranteed to sustain.</w:t>
      </w:r>
    </w:p>
    <w:p>
      <w:pPr>
        <w:pStyle w:val="Heading2"/>
      </w:pPr>
      <w:r>
        <w:rPr>
          <w:color w:val="1F3A5F"/>
          <w:sz w:val="20"/>
        </w:rPr>
        <w:t>References</w:t>
      </w:r>
    </w:p>
    <w:p>
      <w:pPr>
        <w:spacing w:after="120"/>
      </w:pPr>
      <w:r>
        <w:rPr>
          <w:b/>
          <w:sz w:val="20"/>
        </w:rPr>
        <w:t>Learning-curve theory &amp; forecasting.</w:t>
      </w:r>
      <w:r>
        <w:rPr>
          <w:sz w:val="20"/>
        </w:rPr>
        <w:t xml:space="preserve"> Wright, T. P. (1936). Factors affecting the cost of airplanes. J. Aeronautical Sciences, 3(4), 122–128. • Nagy, B., Farmer, J. D., Bui, Q. M., &amp; Trancik, J. E. (2013). Statistical Basis for Predicting Technological Progress. PLoS ONE, 8(2), e52669. • Lafond, F., et al. (2018). How well do experience curves predict technological progress? Technological Forecasting &amp; Social Change, 128, 104–117.</w:t>
      </w:r>
    </w:p>
    <w:p>
      <w:pPr>
        <w:spacing w:after="120"/>
      </w:pPr>
      <w:r>
        <w:rPr>
          <w:b/>
          <w:sz w:val="20"/>
        </w:rPr>
        <w:t>Sequencing &amp; synthesis cost data.</w:t>
      </w:r>
      <w:r>
        <w:rPr>
          <w:sz w:val="20"/>
        </w:rPr>
        <w:t xml:space="preserve"> Wetterstrand, K. A. DNA Sequencing Costs (NHGRI GSP). • Carlson, R. (2009). The changing economics of DNA synthesis. Nature Biotechnology, 27(12), 1091–1094. • Carlson, R. / Field, J. DNA synthesis &amp; sequencing cost data. synthesis.cc.</w:t>
      </w:r>
    </w:p>
    <w:p>
      <w:pPr>
        <w:spacing w:after="120"/>
      </w:pPr>
      <w:r>
        <w:rPr>
          <w:b/>
          <w:sz w:val="20"/>
        </w:rPr>
        <w:t>DIY / benchtop synthesis.</w:t>
      </w:r>
      <w:r>
        <w:rPr>
          <w:sz w:val="20"/>
        </w:rPr>
        <w:t xml:space="preserve"> Kim, J., Kim, H., &amp; Bang, D. (2024). An open-source, 3D printed inkjet DNA synthesizer. Scientific Reports, 14, 3773. • Xu, C., et al. (2021). Electrochemical DNA synthesis and sequencing on a single electrode. Science Advances, 7(46), eabk0100. • Institute for Progress (2024). Securing Benchtop DNA Synthesizers.</w:t>
      </w:r>
    </w:p>
    <w:p>
      <w:pPr>
        <w:spacing w:after="120"/>
      </w:pPr>
      <w:r>
        <w:rPr>
          <w:b/>
          <w:sz w:val="20"/>
        </w:rPr>
        <w:t>Enzymatic synthesis.</w:t>
      </w:r>
      <w:r>
        <w:rPr>
          <w:sz w:val="20"/>
        </w:rPr>
        <w:t xml:space="preserve"> Wu, M., et al. (2025). An AI-native experimental laboratory for autonomous biomolecular engineering (AutoDNA). arXiv:2507.02379.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