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DNA Synthesis Screening Under Device Proliferation</w:t>
      </w:r>
    </w:p>
    <w:p>
      <w:r>
        <w:rPr>
          <w:b/>
          <w:sz w:val="23"/>
        </w:rPr>
        <w:t>A Regime-Conditional Analysis of Governance Architecture for 2026–2030 — Summary for IBBIS</w:t>
      </w:r>
    </w:p>
    <w:p>
      <w:r>
        <w:rPr>
          <w:b/>
        </w:rPr>
        <w:t>The problem.</w:t>
      </w:r>
      <w:r>
        <w:t xml:space="preserve"> Nucleic-acid synthesis screening is being strengthened, not quietly defeated: it is becoming mandatory and moving onto the synthesis device itself — at the same moment that do-it-yourself (DIY) and benchtop synthesis capability is proliferating and, increasingly, concentrating in jurisdictions a United States mandate cannot reach. This fellowship characterises the resulting control architecture as a function of the policy regime, asking not "how do we stop screening from failing?" but "as screening becomes mandatory and on-device while devices proliferate, where does control remain robust, where does it erode, and where must policy shift to keep pace through 2030?"</w:t>
      </w:r>
    </w:p>
    <w:p>
      <w:r>
        <w:rPr>
          <w:b/>
        </w:rPr>
        <w:t>Why now.</w:t>
      </w:r>
      <w:r>
        <w:t xml:space="preserve"> Three US instruments define the moment. The OSTP Framework for Nucleic Acid Synthesis Screening (29 April 2024) took first effect on 26 April 2025 — screening of sequences ≥200 nt as a condition of federal funding; a second stage scheduled for 13 October 2026 would tighten the window to 50 nt and add a functional "sequence of concern" (SOC) definition. Executive Order 14292 (May 2025) then directed OSTP to revise or replace the Framework; as of late 2026 that revision is unpublished, so the October 2026 milestone's on-schedule survival is genuinely uncertain. Alongside it, Senate bill S. 3741 (Cotton–Klobuchar, 29 January 2026) would make screening a statutory, Commerce-enforced requirement. Neither alone constitutes the fully "mandatory + on-device" regime this project models — that is a forward projection, doubly conditional on the Framework revision issuing as expected and S. 3741 (or an equivalent) being enacted.</w:t>
      </w:r>
    </w:p>
    <w:p>
      <w:r>
        <w:rPr>
          <w:b/>
        </w:rPr>
        <w:t>Two regimes, and the residual gap.</w:t>
      </w:r>
      <w:r>
        <w:t xml:space="preserve"> R0 is the status quo as of October 2026: Framework revision pending, IGSC protocol voluntary, no on-device mandate. R1 is the projected regime with mandatory provider and on-device benchtop screening at a 50-nt window with functional detection. The analytically interesting object is not whether screening works, but the residual DIY gap — the synthesis capability that remains outside the perimeter once commercial providers and benchtop manufacturers are screened. Every finding below is scored under both regimes and weighted toward that gap.</w:t>
      </w:r>
    </w:p>
    <w:p>
      <w:r>
        <w:rPr>
          <w:b/>
          <w:sz w:val="23"/>
        </w:rPr>
        <w:t>Summary table — synthesis approaches at a glance</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t>Approach</w:t>
            </w:r>
          </w:p>
        </w:tc>
        <w:tc>
          <w:tcPr>
            <w:tcW w:type="dxa" w:w="1080"/>
          </w:tcPr>
          <w:p>
            <w:r>
              <w:rPr>
                <w:b/>
                <w:sz w:val="17"/>
              </w:rPr>
              <w:t>TRL</w:t>
            </w:r>
          </w:p>
        </w:tc>
        <w:tc>
          <w:tcPr>
            <w:tcW w:type="dxa" w:w="1080"/>
          </w:tcPr>
          <w:p>
            <w:r>
              <w:rPr>
                <w:b/>
                <w:sz w:val="17"/>
              </w:rPr>
              <w:t>DIY or buy</w:t>
            </w:r>
          </w:p>
        </w:tc>
        <w:tc>
          <w:tcPr>
            <w:tcW w:type="dxa" w:w="1080"/>
          </w:tcPr>
          <w:p>
            <w:r>
              <w:rPr>
                <w:b/>
                <w:sz w:val="17"/>
              </w:rPr>
              <w:t>Capital</w:t>
            </w:r>
          </w:p>
        </w:tc>
        <w:tc>
          <w:tcPr>
            <w:tcW w:type="dxa" w:w="1080"/>
          </w:tcPr>
          <w:p>
            <w:r>
              <w:rPr>
                <w:b/>
                <w:sz w:val="17"/>
              </w:rPr>
              <w:t>Usable length @ fidelity</w:t>
            </w:r>
          </w:p>
        </w:tc>
        <w:tc>
          <w:tcPr>
            <w:tcW w:type="dxa" w:w="1080"/>
          </w:tcPr>
          <w:p>
            <w:r>
              <w:rPr>
                <w:b/>
                <w:sz w:val="17"/>
              </w:rPr>
              <w:t>Per-unit cost</w:t>
            </w:r>
          </w:p>
        </w:tc>
        <w:tc>
          <w:tcPr>
            <w:tcW w:type="dxa" w:w="1080"/>
          </w:tcPr>
          <w:p>
            <w:r>
              <w:rPr>
                <w:b/>
                <w:sz w:val="17"/>
              </w:rPr>
              <w:t>Evasion R0 → R1</w:t>
            </w:r>
          </w:p>
        </w:tc>
        <w:tc>
          <w:tcPr>
            <w:tcW w:type="dxa" w:w="1080"/>
          </w:tcPr>
          <w:p>
            <w:r>
              <w:rPr>
                <w:b/>
                <w:sz w:val="17"/>
              </w:rPr>
              <w:t>Forensic signature &amp; governance note</w:t>
            </w:r>
          </w:p>
        </w:tc>
      </w:tr>
      <w:tr>
        <w:tc>
          <w:tcPr>
            <w:tcW w:type="dxa" w:w="1080"/>
          </w:tcPr>
          <w:p>
            <w:r>
              <w:rPr>
                <w:sz w:val="17"/>
              </w:rPr>
              <w:t>OpenIDS / OpenIDS2 (inkjet)</w:t>
            </w:r>
          </w:p>
        </w:tc>
        <w:tc>
          <w:tcPr>
            <w:tcW w:type="dxa" w:w="1080"/>
          </w:tcPr>
          <w:p>
            <w:r>
              <w:rPr>
                <w:sz w:val="17"/>
              </w:rPr>
              <w:t>5</w:t>
            </w:r>
          </w:p>
        </w:tc>
        <w:tc>
          <w:tcPr>
            <w:tcW w:type="dxa" w:w="1080"/>
          </w:tcPr>
          <w:p>
            <w:r>
              <w:rPr>
                <w:sz w:val="17"/>
              </w:rPr>
              <w:t>DIY (build)</w:t>
            </w:r>
          </w:p>
        </w:tc>
        <w:tc>
          <w:tcPr>
            <w:tcW w:type="dxa" w:w="1080"/>
          </w:tcPr>
          <w:p>
            <w:r>
              <w:rPr>
                <w:sz w:val="17"/>
              </w:rPr>
              <w:t>~$19.9K (v1); cheaper 2025 v2</w:t>
            </w:r>
          </w:p>
        </w:tc>
        <w:tc>
          <w:tcPr>
            <w:tcW w:type="dxa" w:w="1080"/>
          </w:tcPr>
          <w:p>
            <w:r>
              <w:rPr>
                <w:sz w:val="17"/>
              </w:rPr>
              <w:t>~15–30 nt</w:t>
            </w:r>
          </w:p>
        </w:tc>
        <w:tc>
          <w:tcPr>
            <w:tcW w:type="dxa" w:w="1080"/>
          </w:tcPr>
          <w:p>
            <w:r>
              <w:rPr>
                <w:sz w:val="17"/>
              </w:rPr>
              <w:t>~$1–5 / seq</w:t>
            </w:r>
          </w:p>
        </w:tc>
        <w:tc>
          <w:tcPr>
            <w:tcW w:type="dxa" w:w="1080"/>
          </w:tcPr>
          <w:p>
            <w:r>
              <w:rPr>
                <w:sz w:val="17"/>
              </w:rPr>
              <w:t>Medium → Low</w:t>
            </w:r>
          </w:p>
        </w:tc>
        <w:tc>
          <w:tcPr>
            <w:tcW w:type="dxa" w:w="1080"/>
          </w:tcPr>
          <w:p>
            <w:r>
              <w:rPr>
                <w:sz w:val="17"/>
              </w:rPr>
              <w:t>Column phosphoramidite; capping omitted → predicted suppressed G→A + elevated n−1. The core residual DIY route; not gene-assembly-ready</w:t>
            </w:r>
          </w:p>
        </w:tc>
      </w:tr>
      <w:tr>
        <w:tc>
          <w:tcPr>
            <w:tcW w:type="dxa" w:w="1080"/>
          </w:tcPr>
          <w:p>
            <w:r>
              <w:rPr>
                <w:sz w:val="17"/>
              </w:rPr>
              <w:t>MAS 2.0 / AMS (photolithographic)</w:t>
            </w:r>
          </w:p>
        </w:tc>
        <w:tc>
          <w:tcPr>
            <w:tcW w:type="dxa" w:w="1080"/>
          </w:tcPr>
          <w:p>
            <w:r>
              <w:rPr>
                <w:sz w:val="17"/>
              </w:rPr>
              <w:t>5</w:t>
            </w:r>
          </w:p>
        </w:tc>
        <w:tc>
          <w:tcPr>
            <w:tcW w:type="dxa" w:w="1080"/>
          </w:tcPr>
          <w:p>
            <w:r>
              <w:rPr>
                <w:sz w:val="17"/>
              </w:rPr>
              <w:t>DIY (build)</w:t>
            </w:r>
          </w:p>
        </w:tc>
        <w:tc>
          <w:tcPr>
            <w:tcW w:type="dxa" w:w="1080"/>
          </w:tcPr>
          <w:p>
            <w:r>
              <w:rPr>
                <w:color w:val="C00000"/>
                <w:sz w:val="17"/>
              </w:rPr>
              <w:t>~€150–170K instrument (~€200–300K loaded; optics ~€150K) — sourced, developer interview 2026</w:t>
            </w:r>
          </w:p>
        </w:tc>
        <w:tc>
          <w:tcPr>
            <w:tcW w:type="dxa" w:w="1080"/>
          </w:tcPr>
          <w:p>
            <w:r>
              <w:rPr>
                <w:sz w:val="17"/>
              </w:rPr>
              <w:t>library-grade (error-prone)</w:t>
            </w:r>
          </w:p>
        </w:tc>
        <w:tc>
          <w:tcPr>
            <w:tcW w:type="dxa" w:w="1080"/>
          </w:tcPr>
          <w:p>
            <w:r>
              <w:rPr>
                <w:sz w:val="17"/>
              </w:rPr>
              <w:t>—</w:t>
            </w:r>
          </w:p>
        </w:tc>
        <w:tc>
          <w:tcPr>
            <w:tcW w:type="dxa" w:w="1080"/>
          </w:tcPr>
          <w:p>
            <w:r>
              <w:rPr>
                <w:sz w:val="17"/>
              </w:rPr>
              <w:t>Medium → Low</w:t>
            </w:r>
          </w:p>
        </w:tc>
        <w:tc>
          <w:tcPr>
            <w:tcW w:type="dxa" w:w="1080"/>
          </w:tcPr>
          <w:p>
            <w:r>
              <w:rPr>
                <w:sz w:val="17"/>
              </w:rPr>
              <w:t>Photolithographic G→T + array spatial gradient (Lietard class). Open build; optics + photolabile-amidite barrier</w:t>
            </w:r>
          </w:p>
        </w:tc>
      </w:tr>
      <w:tr>
        <w:tc>
          <w:tcPr>
            <w:tcW w:type="dxa" w:w="1080"/>
          </w:tcPr>
          <w:p>
            <w:r>
              <w:rPr>
                <w:sz w:val="17"/>
              </w:rPr>
              <w:t>DropSynth (emulsion assembly)</w:t>
            </w:r>
          </w:p>
        </w:tc>
        <w:tc>
          <w:tcPr>
            <w:tcW w:type="dxa" w:w="1080"/>
          </w:tcPr>
          <w:p>
            <w:r>
              <w:rPr>
                <w:sz w:val="17"/>
              </w:rPr>
              <w:t>4</w:t>
            </w:r>
          </w:p>
        </w:tc>
        <w:tc>
          <w:tcPr>
            <w:tcW w:type="dxa" w:w="1080"/>
          </w:tcPr>
          <w:p>
            <w:r>
              <w:rPr>
                <w:sz w:val="17"/>
              </w:rPr>
              <w:t>DIY assembly</w:t>
            </w:r>
          </w:p>
        </w:tc>
        <w:tc>
          <w:tcPr>
            <w:tcW w:type="dxa" w:w="1080"/>
          </w:tcPr>
          <w:p>
            <w:r>
              <w:rPr>
                <w:sz w:val="17"/>
              </w:rPr>
              <w:t>~$3.4K bead pool (~200 rxns)</w:t>
            </w:r>
          </w:p>
        </w:tc>
        <w:tc>
          <w:tcPr>
            <w:tcW w:type="dxa" w:w="1080"/>
          </w:tcPr>
          <w:p>
            <w:r>
              <w:rPr>
                <w:sz w:val="17"/>
              </w:rPr>
              <w:t>~1–3 kb assembled; ~25% perfect</w:t>
            </w:r>
          </w:p>
        </w:tc>
        <w:tc>
          <w:tcPr>
            <w:tcW w:type="dxa" w:w="1080"/>
          </w:tcPr>
          <w:p>
            <w:r>
              <w:rPr>
                <w:sz w:val="17"/>
              </w:rPr>
              <w:t>~$1–2 / gene</w:t>
            </w:r>
          </w:p>
        </w:tc>
        <w:tc>
          <w:tcPr>
            <w:tcW w:type="dxa" w:w="1080"/>
          </w:tcPr>
          <w:p>
            <w:r>
              <w:rPr>
                <w:sz w:val="17"/>
              </w:rPr>
              <w:t>Medium → Low</w:t>
            </w:r>
          </w:p>
        </w:tc>
        <w:tc>
          <w:tcPr>
            <w:tcW w:type="dxa" w:w="1080"/>
          </w:tcPr>
          <w:p>
            <w:r>
              <w:rPr>
                <w:sz w:val="17"/>
              </w:rPr>
              <w:t>Inherits its input oligos' signature; consumes a screenable commercial oligo pool — inherits the perimeter</w:t>
            </w:r>
          </w:p>
        </w:tc>
      </w:tr>
      <w:tr>
        <w:tc>
          <w:tcPr>
            <w:tcW w:type="dxa" w:w="1080"/>
          </w:tcPr>
          <w:p>
            <w:r>
              <w:rPr>
                <w:sz w:val="17"/>
              </w:rPr>
              <w:t>Electrochemical</w:t>
            </w:r>
          </w:p>
        </w:tc>
        <w:tc>
          <w:tcPr>
            <w:tcW w:type="dxa" w:w="1080"/>
          </w:tcPr>
          <w:p>
            <w:r>
              <w:rPr>
                <w:sz w:val="17"/>
              </w:rPr>
              <w:t>3</w:t>
            </w:r>
          </w:p>
        </w:tc>
        <w:tc>
          <w:tcPr>
            <w:tcW w:type="dxa" w:w="1080"/>
          </w:tcPr>
          <w:p>
            <w:r>
              <w:rPr>
                <w:sz w:val="17"/>
              </w:rPr>
              <w:t>No DIY build</w:t>
            </w:r>
          </w:p>
        </w:tc>
        <w:tc>
          <w:tcPr>
            <w:tcW w:type="dxa" w:w="1080"/>
          </w:tcPr>
          <w:p>
            <w:r>
              <w:rPr>
                <w:sz w:val="17"/>
              </w:rPr>
              <w:t>undefined (~$10–12K est)</w:t>
            </w:r>
          </w:p>
        </w:tc>
        <w:tc>
          <w:tcPr>
            <w:tcW w:type="dxa" w:w="1080"/>
          </w:tcPr>
          <w:p>
            <w:r>
              <w:rPr>
                <w:sz w:val="17"/>
              </w:rPr>
              <w:t>13–17 nt (demo only)</w:t>
            </w:r>
          </w:p>
        </w:tc>
        <w:tc>
          <w:tcPr>
            <w:tcW w:type="dxa" w:w="1080"/>
          </w:tcPr>
          <w:p>
            <w:r>
              <w:rPr>
                <w:sz w:val="17"/>
              </w:rPr>
              <w:t>~$1–5 est</w:t>
            </w:r>
          </w:p>
        </w:tc>
        <w:tc>
          <w:tcPr>
            <w:tcW w:type="dxa" w:w="1080"/>
          </w:tcPr>
          <w:p>
            <w:r>
              <w:rPr>
                <w:sz w:val="17"/>
              </w:rPr>
              <w:t>High* → Medium*</w:t>
            </w:r>
          </w:p>
        </w:tc>
        <w:tc>
          <w:tcPr>
            <w:tcW w:type="dxa" w:w="1080"/>
          </w:tcPr>
          <w:p>
            <w:r>
              <w:rPr>
                <w:sz w:val="17"/>
              </w:rPr>
              <w:t>High deletion + 5′ gradient (18.8× deposition, measured). Conditional-future; no independent build exists</w:t>
            </w:r>
          </w:p>
        </w:tc>
      </w:tr>
      <w:tr>
        <w:tc>
          <w:tcPr>
            <w:tcW w:type="dxa" w:w="1080"/>
          </w:tcPr>
          <w:p>
            <w:r>
              <w:rPr>
                <w:sz w:val="17"/>
              </w:rPr>
              <w:t>Enzymatic — SYNTAX (benchtop)</w:t>
            </w:r>
          </w:p>
        </w:tc>
        <w:tc>
          <w:tcPr>
            <w:tcW w:type="dxa" w:w="1080"/>
          </w:tcPr>
          <w:p>
            <w:r>
              <w:rPr>
                <w:sz w:val="17"/>
              </w:rPr>
              <w:t>5</w:t>
            </w:r>
          </w:p>
        </w:tc>
        <w:tc>
          <w:tcPr>
            <w:tcW w:type="dxa" w:w="1080"/>
          </w:tcPr>
          <w:p>
            <w:r>
              <w:rPr>
                <w:sz w:val="17"/>
              </w:rPr>
              <w:t>Buy (not DIY)</w:t>
            </w:r>
          </w:p>
        </w:tc>
        <w:tc>
          <w:tcPr>
            <w:tcW w:type="dxa" w:w="1080"/>
          </w:tcPr>
          <w:p>
            <w:r>
              <w:rPr>
                <w:sz w:val="17"/>
              </w:rPr>
              <w:t>~$270–303K</w:t>
            </w:r>
          </w:p>
        </w:tc>
        <w:tc>
          <w:tcPr>
            <w:tcW w:type="dxa" w:w="1080"/>
          </w:tcPr>
          <w:p>
            <w:r>
              <w:rPr>
                <w:sz w:val="17"/>
              </w:rPr>
              <w:t>80–120 nt</w:t>
            </w:r>
          </w:p>
        </w:tc>
        <w:tc>
          <w:tcPr>
            <w:tcW w:type="dxa" w:w="1080"/>
          </w:tcPr>
          <w:p>
            <w:r>
              <w:rPr>
                <w:sz w:val="17"/>
              </w:rPr>
              <w:t>€0.11–0.26 / base</w:t>
            </w:r>
          </w:p>
        </w:tc>
        <w:tc>
          <w:tcPr>
            <w:tcW w:type="dxa" w:w="1080"/>
          </w:tcPr>
          <w:p>
            <w:r>
              <w:rPr>
                <w:sz w:val="17"/>
              </w:rPr>
              <w:t>Medium → Low</w:t>
            </w:r>
          </w:p>
        </w:tc>
        <w:tc>
          <w:tcPr>
            <w:tcW w:type="dxa" w:w="1080"/>
          </w:tcPr>
          <w:p>
            <w:r>
              <w:rPr>
                <w:sz w:val="17"/>
              </w:rPr>
              <w:t>Deletion/insertion-dominated, sub &lt;0.1% (aqueous). Closed proprietary cartridge = chokepoint</w:t>
            </w:r>
          </w:p>
        </w:tc>
      </w:tr>
      <w:tr>
        <w:tc>
          <w:tcPr>
            <w:tcW w:type="dxa" w:w="1080"/>
          </w:tcPr>
          <w:p>
            <w:r>
              <w:rPr>
                <w:sz w:val="17"/>
              </w:rPr>
              <w:t>Enzymatic — Church (DIY route)</w:t>
            </w:r>
          </w:p>
        </w:tc>
        <w:tc>
          <w:tcPr>
            <w:tcW w:type="dxa" w:w="1080"/>
          </w:tcPr>
          <w:p>
            <w:r>
              <w:rPr>
                <w:sz w:val="17"/>
              </w:rPr>
              <w:t>~3</w:t>
            </w:r>
          </w:p>
        </w:tc>
        <w:tc>
          <w:tcPr>
            <w:tcW w:type="dxa" w:w="1080"/>
          </w:tcPr>
          <w:p>
            <w:r>
              <w:rPr>
                <w:sz w:val="17"/>
              </w:rPr>
              <w:t>DIY (off-the-shelf)</w:t>
            </w:r>
          </w:p>
        </w:tc>
        <w:tc>
          <w:tcPr>
            <w:tcW w:type="dxa" w:w="1080"/>
          </w:tcPr>
          <w:p>
            <w:r>
              <w:rPr>
                <w:sz w:val="17"/>
              </w:rPr>
              <w:t>low</w:t>
            </w:r>
          </w:p>
        </w:tc>
        <w:tc>
          <w:tcPr>
            <w:tcW w:type="dxa" w:w="1080"/>
          </w:tcPr>
          <w:p>
            <w:r>
              <w:rPr>
                <w:sz w:val="17"/>
              </w:rPr>
              <w:t>data-storage only (not defined-sequence)</w:t>
            </w:r>
          </w:p>
        </w:tc>
        <w:tc>
          <w:tcPr>
            <w:tcW w:type="dxa" w:w="1080"/>
          </w:tcPr>
          <w:p>
            <w:r>
              <w:rPr>
                <w:sz w:val="17"/>
              </w:rPr>
              <w:t>—</w:t>
            </w:r>
          </w:p>
        </w:tc>
        <w:tc>
          <w:tcPr>
            <w:tcW w:type="dxa" w:w="1080"/>
          </w:tcPr>
          <w:p>
            <w:r>
              <w:rPr>
                <w:sz w:val="17"/>
              </w:rPr>
              <w:t>—</w:t>
            </w:r>
          </w:p>
        </w:tc>
        <w:tc>
          <w:tcPr>
            <w:tcW w:type="dxa" w:w="1080"/>
          </w:tcPr>
          <w:p>
            <w:r>
              <w:rPr>
                <w:sz w:val="17"/>
              </w:rPr>
              <w:t>Off-the-shelf TdT/dNTPs/apyrase, but not gene-capable — a different product</w:t>
            </w:r>
          </w:p>
        </w:tc>
      </w:tr>
      <w:tr>
        <w:tc>
          <w:tcPr>
            <w:tcW w:type="dxa" w:w="1080"/>
          </w:tcPr>
          <w:p>
            <w:r>
              <w:rPr>
                <w:sz w:val="17"/>
              </w:rPr>
              <w:t>Commercial benchtop (column)</w:t>
            </w:r>
          </w:p>
        </w:tc>
        <w:tc>
          <w:tcPr>
            <w:tcW w:type="dxa" w:w="1080"/>
          </w:tcPr>
          <w:p>
            <w:r>
              <w:rPr>
                <w:sz w:val="17"/>
              </w:rPr>
              <w:t>9</w:t>
            </w:r>
          </w:p>
        </w:tc>
        <w:tc>
          <w:tcPr>
            <w:tcW w:type="dxa" w:w="1080"/>
          </w:tcPr>
          <w:p>
            <w:r>
              <w:rPr>
                <w:sz w:val="17"/>
              </w:rPr>
              <w:t>Buy</w:t>
            </w:r>
          </w:p>
        </w:tc>
        <w:tc>
          <w:tcPr>
            <w:tcW w:type="dxa" w:w="1080"/>
          </w:tcPr>
          <w:p>
            <w:r>
              <w:rPr>
                <w:sz w:val="17"/>
              </w:rPr>
              <w:t>~$60K (~$15–150K; used ~$15–30K)</w:t>
            </w:r>
          </w:p>
        </w:tc>
        <w:tc>
          <w:tcPr>
            <w:tcW w:type="dxa" w:w="1080"/>
          </w:tcPr>
          <w:p>
            <w:r>
              <w:rPr>
                <w:sz w:val="17"/>
              </w:rPr>
              <w:t>~100–150+ nt</w:t>
            </w:r>
          </w:p>
        </w:tc>
        <w:tc>
          <w:tcPr>
            <w:tcW w:type="dxa" w:w="1080"/>
          </w:tcPr>
          <w:p>
            <w:r>
              <w:rPr>
                <w:sz w:val="17"/>
              </w:rPr>
              <w:t>~$0.30 / bp</w:t>
            </w:r>
          </w:p>
        </w:tc>
        <w:tc>
          <w:tcPr>
            <w:tcW w:type="dxa" w:w="1080"/>
          </w:tcPr>
          <w:p>
            <w:r>
              <w:rPr>
                <w:sz w:val="17"/>
              </w:rPr>
              <w:t>Medium → Low</w:t>
            </w:r>
          </w:p>
        </w:tc>
        <w:tc>
          <w:tcPr>
            <w:tcW w:type="dxa" w:w="1080"/>
          </w:tcPr>
          <w:p>
            <w:r>
              <w:rPr>
                <w:sz w:val="17"/>
              </w:rPr>
              <w:t>Standard capped column (G→A). Mature baseline; active resale/legacy market</w:t>
            </w:r>
          </w:p>
        </w:tc>
      </w:tr>
      <w:tr>
        <w:tc>
          <w:tcPr>
            <w:tcW w:type="dxa" w:w="1080"/>
          </w:tcPr>
          <w:p>
            <w:r>
              <w:rPr>
                <w:sz w:val="17"/>
              </w:rPr>
              <w:t>Commercial provider (mail-order)</w:t>
            </w:r>
          </w:p>
        </w:tc>
        <w:tc>
          <w:tcPr>
            <w:tcW w:type="dxa" w:w="1080"/>
          </w:tcPr>
          <w:p>
            <w:r>
              <w:rPr>
                <w:sz w:val="17"/>
              </w:rPr>
              <w:t>9</w:t>
            </w:r>
          </w:p>
        </w:tc>
        <w:tc>
          <w:tcPr>
            <w:tcW w:type="dxa" w:w="1080"/>
          </w:tcPr>
          <w:p>
            <w:r>
              <w:rPr>
                <w:sz w:val="17"/>
              </w:rPr>
              <w:t>Buy (service)</w:t>
            </w:r>
          </w:p>
        </w:tc>
        <w:tc>
          <w:tcPr>
            <w:tcW w:type="dxa" w:w="1080"/>
          </w:tcPr>
          <w:p>
            <w:r>
              <w:rPr>
                <w:sz w:val="17"/>
              </w:rPr>
              <w:t>none</w:t>
            </w:r>
          </w:p>
        </w:tc>
        <w:tc>
          <w:tcPr>
            <w:tcW w:type="dxa" w:w="1080"/>
          </w:tcPr>
          <w:p>
            <w:r>
              <w:rPr>
                <w:sz w:val="17"/>
              </w:rPr>
              <w:t>genes/genomes (benchmark)</w:t>
            </w:r>
          </w:p>
        </w:tc>
        <w:tc>
          <w:tcPr>
            <w:tcW w:type="dxa" w:w="1080"/>
          </w:tcPr>
          <w:p>
            <w:r>
              <w:rPr>
                <w:sz w:val="17"/>
              </w:rPr>
              <w:t>$0.07–0.10 / bp</w:t>
            </w:r>
          </w:p>
        </w:tc>
        <w:tc>
          <w:tcPr>
            <w:tcW w:type="dxa" w:w="1080"/>
          </w:tcPr>
          <w:p>
            <w:r>
              <w:rPr>
                <w:sz w:val="17"/>
              </w:rPr>
              <w:t>Medium → Low</w:t>
            </w:r>
          </w:p>
        </w:tc>
        <w:tc>
          <w:tcPr>
            <w:tcW w:type="dxa" w:w="1080"/>
          </w:tcPr>
          <w:p>
            <w:r>
              <w:rPr>
                <w:sz w:val="17"/>
              </w:rPr>
              <w:t>The screened channel (IGSC ~80% capacity; SecureDNA) — the R0/R1 control point</w:t>
            </w:r>
          </w:p>
        </w:tc>
      </w:tr>
    </w:tbl>
    <w:p>
      <w:r>
        <w:t>Evasion is scored as the R0→R1 change (higher = more able to evade). * Electrochemical/DropSynth values are conditional-future (TRL 3–4). Costs and lengths are the corrected values used across Chapters 1–4.</w:t>
      </w:r>
    </w:p>
    <w:p>
      <w:r>
        <w:rPr>
          <w:b/>
        </w:rPr>
        <w:t>Workstream 1 — a regime-conditional Technology Readiness Index (TRI), weighted toward DIY.</w:t>
      </w:r>
      <w:r>
        <w:t xml:space="preserve"> Seven synthesis routes are scored across nine dimensions, with detectability and supply-chain vulnerability scored as R0/R1 pairs. TRL here ranks how close a route is to a working, assembly-ready capability a non-expert could stand up; the analytical weight sits in the TRL 3–6 band, with high-TRL commercial systems (7–9) scored only as a baseline. Two disciplines give the index its rigour. First, capability is scored by usable length at high fidelity, not advertised maximum: at 98% per-step coupling a 30-mer is full-length only ~55% of the time, and OpenIDS delivers ~55–56% full-length for a short oligo — well below the &gt;90% that gene assembly needs. Second, every input carries lower/best/upper bounds and a HIGH/MEDIUM/LOW confidence tag, and conclusions face a worst-case survival test.</w:t>
      </w:r>
    </w:p>
    <w:p>
      <w:r>
        <w:t xml:space="preserve">The genuinely DIY-reproducible de-novo synthesizers are OpenIDS/OpenIDS2 (open-source inkjet; ~$19,900 for v1, a cheaper 2025 successor; TRL 5; usable ~15–30 nt) and MAS 2.0 (open photolithographic; </w:t>
      </w:r>
      <w:r>
        <w:rPr>
          <w:color w:val="C00000"/>
        </w:rPr>
        <w:t>~€150–170K instrument / ~€200–300K end-to-end, optics alone ~€150K (developer interview, Somoza/Helices, 2026); no independent build yet</w:t>
      </w:r>
      <w:r>
        <w:t>; TRL 5; library-grade output). DropSynth is DIY-reproducible gene assembly (~$3,400 bead pool, ~$1–2/gene, ~25% perfect) but consumes a commercial, screenable oligo pool. Electrochemical is TRL 3 with no independent DIY build. Enzymatic is DIY only in a data-storage-only form; the defined-sequence benchtop (DNA Script SYNTAX, ~$270–303K) is purchasable, not reproducible — gated by a closed reagent cartridge. Commercial column benchtops (~$60K; Kilobaser ~$35.5K) and mail-order providers ($0.07–0.10/bp) are the screenable baseline. A 2026 survey found no working homebrew/garage synthesizer beyond these academic open-hardware platforms plus DropSynth-style assembly.</w:t>
      </w:r>
    </w:p>
    <w:p>
      <w:r>
        <w:rPr>
          <w:b/>
        </w:rPr>
        <w:t>Workstream 2 — cost &amp; accessibility trajectories.</w:t>
      </w:r>
      <w:r>
        <w:t xml:space="preserve"> Projections are stated as conditional annual-decline scenarios with explicit TRL gating, not mechanical curve fits. OpenIDS, the only DIY route with a real cost anchor, is modelled from its $19,900 build at ~5/8/15%/yr: base case ~$16.8K (2026) → ~$12.1K (2030), crossing &lt;$15K around 2027 and &lt;$10K only ~2028 (optimistic) / ~2032 (base). Electrochemical cost is undefined at TRL 3 — modelled as maturation first, cost second. The enzymatic benchtop is commercial-only (~$270–303K now; IFP's 2030 model peaks near ~$190K, 25th–75th percentile ~$112–298K). The load-bearing conclusion: because commercial cost-per-base has plateaued (~$0.07/bp), the DIY accessibility barrier is capital cost, not per-base cost — and even where OpenIDS undercuts providers at high volume, it yields raw short oligos, not the assembled, verified, screened product a provider delivers.</w:t>
      </w:r>
    </w:p>
    <w:p>
      <w:r>
        <w:rPr>
          <w:b/>
        </w:rPr>
        <w:t>Workstream 3 — control-robustness across regimes.</w:t>
      </w:r>
      <w:r>
        <w:t xml:space="preserve"> Under R0, every lever is fragile: provider screening is voluntary (a 2024 survey found uneven thresholds), and reagent, solvent, and printhead restrictions all fail because inputs are commodity or substitutable (propylene carbonate, a GRAS food additive, replaces acetonitrile in OpenIDS). Under R1, mandatory provider + on-device screening + functional detection + retention are substantially more durable — but durable only for regulated commercial devices: open firmware makes on-device screening weak for DIY systems, and legacy/secondhand devices escape it entirely. The headline finding — HIGH-confidence and surviving worst-case — is that supply-chain restriction is not a durable control point under either regime; control belongs at the device and the provider, not the input.</w:t>
      </w:r>
    </w:p>
    <w:p>
      <w:r>
        <w:t>The single most consequential result is about reach, not manufacturing. Of the 34 benchtop manufacturers inventoried within the ERA/IBBIS group, only 8 are US-headquartered (directly bound), 12 are in allied jurisdictions, and 14 sit outside both; 5 of the 9 firms founded since 2019 are outside US jurisdiction, including the highest-throughput array-based class, and ~35% predate 2010 (a legacy base that cannot be retrofitted with know-your-customer checks or secure boot). A used-equipment market — e.g. the Codex DNA / Telesis Bio 10-Q disclosure of BioXp units reaching embargoed destinations via resellers — places even screened-by-design devices in unscreened hands. A US mandate directly reaches under a quarter of known manufacturers, and the newest, most capable capacity is concentrating precisely where it does not. International harmonisation is therefore load-bearing, not an optional add-on. A secondary result: across all 34 firms, adopted-screening status could not be verified from public sources — "the benchtop layer is essentially unauditable from outside" is itself a governance finding.</w:t>
      </w:r>
    </w:p>
    <w:p>
      <w:r>
        <w:rPr>
          <w:b/>
        </w:rPr>
        <w:t>Workstream 4 — synthesis-route attribution, now measured, not only specified.</w:t>
      </w:r>
      <w:r>
        <w:t xml:space="preserve"> Because prevention is imperfect by design, the project specifies a post-hoc capability: infer the synthesis route from characteristic error signatures in a product's sequence, using reads alone and without device cooperation. The scope is honest — class-level attribution ("this came off an array-based process"), not device-level. Since the specification, the framework has moved from proposal to proof: four chemistries' error signatures were independently reproduced from deposited sequencing data, each within ~±20% of published values — column phosphoramidite (capping-driven G→A; the Ac₂O→Pac₂O shift reproduced at 12.2×, paper ~13×, and shown polymerase-independent at 1.08× spread), manufacturer/batch profiles, photolithographic (G→T; capping drop 0.28%→0.08%), and electrochemical (18.8× higher deletion than material-deposition, with a 5′-ward gradient). Class-level attribution was measured directly on a single co-processed reference atlas (65 runs, four datasets): the four synthesis chemistries separate at 100% balanced accuracy (leave-one-run-out, permutation p≈0.01) and capping chemistry at 100%. Manufacturer/batch differences are measurable but leakage-sensitive — under leakage-safe leave-one-lot-out, four-vendor attribution is data-limited and near-neighbour IDT-vs-Sigma is only ~72% (borderline) — so cross-chemistry attribution is strong while within-chemistry vendor attribution is hard. Following the genetic-engineering-attribution literature (Alley et al. 2020; Crook et al. 2022), exclusion is the primary value: ruling out a commercial-provider origin redirects an investigation from subpoenaing order records toward searching for equipment. A concrete DIY-vs-commercial discriminator is specified — OpenIDS omits the capping step, so its product should show suppressed G→A and elevated n−1 deletions — mechanistically anchored in the reproduced Masaki result and awaiting collaborator product data (infohazard-reviewed via IBBIS; no synthesis is performed in-house).</w:t>
      </w:r>
    </w:p>
    <w:p>
      <w:r>
        <w:t>This connects to a live vulnerability: Wittmann et al. (Science, 2025 — the "Paraphrase Project") showed similarity-based screening can be evaded by AI-designed protein variants that retain predicted function while diverging in sequence; after coordinated patching, ~3% of the more-probably-functional variants still escaped detection (a ~97% flag rate). This is precisely the gap the October 2026 functional-SOC provision targets, and why the project treats functional detection — not sequence similarity alone — as the frontier problem.</w:t>
      </w:r>
    </w:p>
    <w:p>
      <w:r>
        <w:rPr>
          <w:b/>
        </w:rPr>
        <w:t>Scope, and why the boundary is principled.</w:t>
      </w:r>
      <w:r>
        <w:t xml:space="preserve"> The analysis is limited to the synthesis step; assembly, pathogen rescue, and deployment are out of scope — because the binding constraint sits downstream. Assembling short oligos into genes is standard (demonstrated even from 16–30-mers), but converting low-fidelity DIY oligos into a correct functional gene depends on a fidelity-gated error-correction, clonal-selection and verification pipeline, and reliable assembly beyond ~7–10 kb requires bacterial/yeast host systems plus virus-specific expertise — the same barrier NTI's 2023 assessment identifies. Scoping to synthesis characterises the genuinely governable chokepoint.</w:t>
      </w:r>
    </w:p>
    <w:p>
      <w:r>
        <w:rPr>
          <w:b/>
        </w:rPr>
        <w:t>Deliverables, and why it matters.</w:t>
      </w:r>
      <w:r>
        <w:t xml:space="preserve"> The project delivers a technical report (~5,000 words) covering the regime-conditional index, the accessibility-and-reach analysis, the control-robustness assessment, and the attribution specification plus reproduction results, with full confidence bounds; a policy brief (~2,000 words) with stakeholder-specific recommendations for 2026–2030; open annexes (the index workbook and accessibility scoring sheet); and two to three expert reviews. The contribution is to move the conversation from threat-ranking toward governance-architecture design — which controls remain robust, which are fragile, and where policy must invest so that a mandatory, on-device regime is actually effective and actually reaches far enough. Screening is being proactively strengthened because policymakers judged device-level integration necessary for resilience; this project's job is to help that strategy succeed — identifying which levers hold, what forensic backstop is needed for the devices and residual DIY routes those levers cannot reach (now demonstrated, not just proposed), and where jurisdictional, legacy, and DIY gaps would otherwise undermine it.</w:t>
      </w:r>
    </w:p>
    <w:p>
      <w:r>
        <w:rPr>
          <w:color w:val="C00000"/>
        </w:rPr>
        <w:t>— Red text marks the change in this revision: MAS 2.0 capital corrected from "tens of $K" to a sourced ~€150–170K instrument / ~€200–300K end-to-end figure (developer interview with Mark Somoza, co-founder of Helices Biological Photolithography, Jul 2026, corroborated by helicesbio.com and the ChemRxiv component list), plus the "no independent build yet" note. Updated in the summary table and in Workstream 1. No other claims were altered.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