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62848548e557452d83e8c03db36eff2fc3f484"/>
      <w:r>
        <w:t xml:space="preserve">DNA Synthesis Screening Under Device Proliferation</w:t>
      </w:r>
      <w:bookmarkEnd w:id="20"/>
    </w:p>
    <w:p>
      <w:pPr>
        <w:pStyle w:val="Heading3"/>
      </w:pPr>
      <w:bookmarkStart w:id="21" w:name="Xee6c652d7af1ca6578a37688524e5bf1b2388a0"/>
      <w:r>
        <w:t xml:space="preserve">A Regime-Conditional Analysis of Governance Architecture for 2026–2030</w:t>
      </w:r>
      <w:bookmarkEnd w:id="21"/>
    </w:p>
    <w:p>
      <w:pPr>
        <w:pStyle w:val="FirstParagraph"/>
      </w:pPr>
      <w:r>
        <w:rPr>
          <w:i/>
        </w:rPr>
        <w:t xml:space="preserve">Scope realigned toward DIY / accessible in-house synthesis; all figures verified against primary sources (2026). Commercial rows are retained only as the screenable baseline for contrast.</w:t>
      </w:r>
    </w:p>
    <w:p>
      <w:pPr>
        <w:pStyle w:val="Heading2"/>
      </w:pPr>
      <w:bookmarkStart w:id="22" w:name="X8102d6e236e7e239e4167d21a9e45b112d16eb4"/>
      <w:r>
        <w:t xml:space="preserve">Table A — Capability and accessibility by synthesis approach</w:t>
      </w:r>
      <w:bookmarkEnd w:id="2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Method (how it works)</w:t>
            </w:r>
          </w:p>
        </w:tc>
        <w:tc>
          <w:tcPr>
            <w:tcBorders>
              <w:bottom w:val="single"/>
            </w:tcBorders>
            <w:vAlign w:val="bottom"/>
          </w:tcPr>
          <w:p>
            <w:pPr>
              <w:pStyle w:val="Compact"/>
              <w:jc w:val="left"/>
            </w:pPr>
            <w:r>
              <w:t xml:space="preserve">Cost (capital / per-seq)</w:t>
            </w:r>
          </w:p>
        </w:tc>
        <w:tc>
          <w:tcPr>
            <w:tcBorders>
              <w:bottom w:val="single"/>
            </w:tcBorders>
            <w:vAlign w:val="bottom"/>
          </w:tcPr>
          <w:p>
            <w:pPr>
              <w:pStyle w:val="Compact"/>
              <w:jc w:val="left"/>
            </w:pPr>
            <w:r>
              <w:t xml:space="preserve">Usable length @ high fidelity</w:t>
            </w:r>
          </w:p>
        </w:tc>
        <w:tc>
          <w:tcPr>
            <w:tcBorders>
              <w:bottom w:val="single"/>
            </w:tcBorders>
            <w:vAlign w:val="bottom"/>
          </w:tcPr>
          <w:p>
            <w:pPr>
              <w:pStyle w:val="Compact"/>
              <w:jc w:val="left"/>
            </w:pPr>
            <w:r>
              <w:t xml:space="preserve">Material acquisition</w:t>
            </w:r>
          </w:p>
        </w:tc>
        <w:tc>
          <w:tcPr>
            <w:tcBorders>
              <w:bottom w:val="single"/>
            </w:tcBorders>
            <w:vAlign w:val="bottom"/>
          </w:tcPr>
          <w:p>
            <w:pPr>
              <w:pStyle w:val="Compact"/>
              <w:jc w:val="left"/>
            </w:pPr>
            <w:r>
              <w:t xml:space="preserve">Protocol accessibility</w:t>
            </w:r>
          </w:p>
        </w:tc>
      </w:tr>
      <w:tr>
        <w:tc>
          <w:p>
            <w:pPr>
              <w:pStyle w:val="Compact"/>
              <w:jc w:val="left"/>
            </w:pPr>
            <w:r>
              <w:rPr>
                <w:b/>
              </w:rPr>
              <w:t xml:space="preserve">OpenIDS v1</w:t>
            </w:r>
          </w:p>
        </w:tc>
        <w:tc>
          <w:p>
            <w:pPr>
              <w:pStyle w:val="Compact"/>
              <w:jc w:val="left"/>
            </w:pPr>
            <w:r>
              <w:t xml:space="preserve">Inkjet printhead deposits phosphoramidite chemistry onto CPG-filled silicon-wafer spots; 3D-printed frame, Arduino/Pi control; array format</w:t>
            </w:r>
          </w:p>
        </w:tc>
        <w:tc>
          <w:p>
            <w:pPr>
              <w:pStyle w:val="Compact"/>
              <w:jc w:val="left"/>
            </w:pPr>
            <w:r>
              <w:t xml:space="preserve">~$20K / ~$1–5</w:t>
            </w:r>
          </w:p>
        </w:tc>
        <w:tc>
          <w:p>
            <w:pPr>
              <w:pStyle w:val="Compact"/>
              <w:jc w:val="left"/>
            </w:pPr>
            <w:r>
              <w:t xml:space="preserve">~20–30 nt (demonstrated only a poly-dT 30-mer; ~98%/step → ~55% full-length at 30, &lt;40% at 50)</w:t>
            </w:r>
          </w:p>
        </w:tc>
        <w:tc>
          <w:p>
            <w:pPr>
              <w:pStyle w:val="Compact"/>
              <w:jc w:val="left"/>
            </w:pPr>
            <w:r>
              <w:t xml:space="preserve">Medium — industrial inkjet printhead is the chokepoint; reagents commodity</w:t>
            </w:r>
          </w:p>
        </w:tc>
        <w:tc>
          <w:p>
            <w:pPr>
              <w:pStyle w:val="Compact"/>
              <w:jc w:val="left"/>
            </w:pPr>
            <w:r>
              <w:t xml:space="preserve">Medium — open-source,</w:t>
            </w:r>
            <w:r>
              <w:t xml:space="preserve"> </w:t>
            </w:r>
            <w:r>
              <w:t xml:space="preserve">“</w:t>
            </w:r>
            <w:r>
              <w:t xml:space="preserve">non-expert</w:t>
            </w:r>
            <w:r>
              <w:t xml:space="preserve">”</w:t>
            </w:r>
            <w:r>
              <w:t xml:space="preserve"> </w:t>
            </w:r>
            <w:r>
              <w:t xml:space="preserve">buildable, but anhydrous wet chemistry + calibration non-trivial</w:t>
            </w:r>
          </w:p>
        </w:tc>
      </w:tr>
      <w:tr>
        <w:tc>
          <w:p>
            <w:pPr>
              <w:pStyle w:val="Compact"/>
              <w:jc w:val="left"/>
            </w:pPr>
            <w:r>
              <w:rPr>
                <w:b/>
              </w:rPr>
              <w:t xml:space="preserve">OpenIDS v2</w:t>
            </w:r>
          </w:p>
        </w:tc>
        <w:tc>
          <w:p>
            <w:pPr>
              <w:pStyle w:val="Compact"/>
              <w:jc w:val="left"/>
            </w:pPr>
            <w:r>
              <w:t xml:space="preserve">2nd-gen OpenIDS: ~⅓ volume, custom PCB, 3D-printed peristaltic pumps; same inkjet-microarray chemistry</w:t>
            </w:r>
          </w:p>
        </w:tc>
        <w:tc>
          <w:p>
            <w:pPr>
              <w:pStyle w:val="Compact"/>
              <w:jc w:val="left"/>
            </w:pPr>
            <w:r>
              <w:rPr>
                <w:b/>
              </w:rPr>
              <w:t xml:space="preserve">~$4K</w:t>
            </w:r>
            <w:r>
              <w:t xml:space="preserve"> </w:t>
            </w:r>
            <w:r>
              <w:t xml:space="preserve">/ —</w:t>
            </w:r>
          </w:p>
        </w:tc>
        <w:tc>
          <w:p>
            <w:pPr>
              <w:pStyle w:val="Compact"/>
              <w:jc w:val="left"/>
            </w:pPr>
            <w:r>
              <w:t xml:space="preserve">~15–25 nt (validated on a 15-mer poly-dT, ~56% full-length, ~96%/step)</w:t>
            </w:r>
          </w:p>
        </w:tc>
        <w:tc>
          <w:p>
            <w:pPr>
              <w:pStyle w:val="Compact"/>
              <w:jc w:val="left"/>
            </w:pPr>
            <w:r>
              <w:t xml:space="preserve">Medium — as v1</w:t>
            </w:r>
          </w:p>
        </w:tc>
        <w:tc>
          <w:p>
            <w:pPr>
              <w:pStyle w:val="Compact"/>
              <w:jc w:val="left"/>
            </w:pPr>
            <w:r>
              <w:t xml:space="preserve">Medium — more reproducible/accessible than v1 (full open Gerber/CAD/BOM/code)</w:t>
            </w:r>
          </w:p>
        </w:tc>
      </w:tr>
      <w:tr>
        <w:tc>
          <w:p>
            <w:pPr>
              <w:pStyle w:val="Compact"/>
              <w:jc w:val="left"/>
            </w:pPr>
            <w:r>
              <w:rPr>
                <w:b/>
              </w:rPr>
              <w:t xml:space="preserve">MAS 2.0 / AMS</w:t>
            </w:r>
          </w:p>
        </w:tc>
        <w:tc>
          <w:p>
            <w:pPr>
              <w:pStyle w:val="Compact"/>
              <w:jc w:val="left"/>
            </w:pPr>
            <w:r>
              <w:t xml:space="preserve">Open-source</w:t>
            </w:r>
            <w:r>
              <w:t xml:space="preserve"> </w:t>
            </w:r>
            <w:r>
              <w:rPr>
                <w:b/>
              </w:rPr>
              <w:t xml:space="preserve">photolithographic</w:t>
            </w:r>
            <w:r>
              <w:t xml:space="preserve"> </w:t>
            </w:r>
            <w:r>
              <w:t xml:space="preserve">(light-directed) synthesizer: a DMD patterns 365 nm UV to photo-deprotect features (NPPOC amidites), no physical masks</w:t>
            </w:r>
          </w:p>
        </w:tc>
        <w:tc>
          <w:p>
            <w:pPr>
              <w:pStyle w:val="Compact"/>
              <w:jc w:val="left"/>
            </w:pPr>
            <w:r>
              <w:t xml:space="preserve">~tens of $K (component list in supplement) / —</w:t>
            </w:r>
          </w:p>
        </w:tc>
        <w:tc>
          <w:p>
            <w:pPr>
              <w:pStyle w:val="Compact"/>
              <w:jc w:val="left"/>
            </w:pPr>
            <w:r>
              <w:t xml:space="preserve">library-grade (error-prone; handled by downstream selection)</w:t>
            </w:r>
          </w:p>
        </w:tc>
        <w:tc>
          <w:p>
            <w:pPr>
              <w:pStyle w:val="Compact"/>
              <w:jc w:val="left"/>
            </w:pPr>
            <w:r>
              <w:t xml:space="preserve">Medium — off-the-shelf optics + specialty photolabile amidites;</w:t>
            </w:r>
            <w:r>
              <w:t xml:space="preserve"> </w:t>
            </w:r>
            <w:r>
              <w:rPr>
                <w:b/>
              </w:rPr>
              <w:t xml:space="preserve">no cleanroom</w:t>
            </w:r>
          </w:p>
        </w:tc>
        <w:tc>
          <w:p>
            <w:pPr>
              <w:pStyle w:val="Compact"/>
              <w:jc w:val="left"/>
            </w:pPr>
            <w:r>
              <w:t xml:space="preserve">Medium — full open CAD/STL/software + chemistry manual; optics alignment is the barrier</w:t>
            </w:r>
          </w:p>
        </w:tc>
      </w:tr>
      <w:tr>
        <w:tc>
          <w:p>
            <w:pPr>
              <w:pStyle w:val="Compact"/>
              <w:jc w:val="left"/>
            </w:pPr>
            <w:r>
              <w:rPr>
                <w:b/>
              </w:rPr>
              <w:t xml:space="preserve">DropSynth</w:t>
            </w:r>
          </w:p>
        </w:tc>
        <w:tc>
          <w:p>
            <w:pPr>
              <w:pStyle w:val="Compact"/>
              <w:jc w:val="left"/>
            </w:pPr>
            <w:r>
              <w:t xml:space="preserve">Assembles</w:t>
            </w:r>
            <w:r>
              <w:t xml:space="preserve"> </w:t>
            </w:r>
            <w:r>
              <w:rPr>
                <w:b/>
              </w:rPr>
              <w:t xml:space="preserve">commercial</w:t>
            </w:r>
            <w:r>
              <w:t xml:space="preserve"> </w:t>
            </w:r>
            <w:r>
              <w:t xml:space="preserve">microarray oligos into genes: barcoded beads pull each gene’s oligos into a</w:t>
            </w:r>
            <w:r>
              <w:t xml:space="preserve"> </w:t>
            </w:r>
            <w:r>
              <w:rPr>
                <w:b/>
              </w:rPr>
              <w:t xml:space="preserve">vortex-made</w:t>
            </w:r>
            <w:r>
              <w:t xml:space="preserve"> </w:t>
            </w:r>
            <w:r>
              <w:t xml:space="preserve">water-in-oil emulsion, then PCA/Golden-Gate assembly</w:t>
            </w:r>
          </w:p>
        </w:tc>
        <w:tc>
          <w:p>
            <w:pPr>
              <w:pStyle w:val="Compact"/>
              <w:jc w:val="left"/>
            </w:pPr>
            <w:r>
              <w:rPr>
                <w:b/>
              </w:rPr>
              <w:t xml:space="preserve">~$3.4K bead pool</w:t>
            </w:r>
            <w:r>
              <w:t xml:space="preserve"> </w:t>
            </w:r>
            <w:r>
              <w:t xml:space="preserve">(~200 rxns) /</w:t>
            </w:r>
            <w:r>
              <w:t xml:space="preserve"> </w:t>
            </w:r>
            <w:r>
              <w:rPr>
                <w:b/>
              </w:rPr>
              <w:t xml:space="preserve">~$1–2 per gene</w:t>
            </w:r>
          </w:p>
        </w:tc>
        <w:tc>
          <w:p>
            <w:pPr>
              <w:pStyle w:val="Compact"/>
              <w:jc w:val="left"/>
            </w:pPr>
            <w:r>
              <w:t xml:space="preserve">Gene-length (~1–3 kb) from short blocks — fidelity ~25% perfect, error-correction-dependent</w:t>
            </w:r>
          </w:p>
        </w:tc>
        <w:tc>
          <w:p>
            <w:pPr>
              <w:pStyle w:val="Compact"/>
              <w:jc w:val="left"/>
            </w:pPr>
            <w:r>
              <w:t xml:space="preserve">Medium — needs a</w:t>
            </w:r>
            <w:r>
              <w:t xml:space="preserve"> </w:t>
            </w:r>
            <w:r>
              <w:rPr>
                <w:b/>
              </w:rPr>
              <w:t xml:space="preserve">commercial oligo-pool source</w:t>
            </w:r>
            <w:r>
              <w:t xml:space="preserve">; assembly is</w:t>
            </w:r>
            <w:r>
              <w:t xml:space="preserve"> </w:t>
            </w:r>
            <w:r>
              <w:rPr>
                <w:b/>
              </w:rPr>
              <w:t xml:space="preserve">standard mol-bio kit + vortex — no microfluidic chip, no cleanroom</w:t>
            </w:r>
          </w:p>
        </w:tc>
        <w:tc>
          <w:p>
            <w:pPr>
              <w:pStyle w:val="Compact"/>
              <w:jc w:val="left"/>
            </w:pPr>
            <w:r>
              <w:t xml:space="preserve">Moderate — bead-pool prep is fiddly; downstream is routine PCR/gel + bioinformatics</w:t>
            </w:r>
          </w:p>
        </w:tc>
      </w:tr>
      <w:tr>
        <w:tc>
          <w:p>
            <w:pPr>
              <w:pStyle w:val="Compact"/>
              <w:jc w:val="left"/>
            </w:pPr>
            <w:r>
              <w:rPr>
                <w:b/>
              </w:rPr>
              <w:t xml:space="preserve">Electrochemical</w:t>
            </w:r>
          </w:p>
        </w:tc>
        <w:tc>
          <w:p>
            <w:pPr>
              <w:pStyle w:val="Compact"/>
              <w:jc w:val="left"/>
            </w:pPr>
            <w:r>
              <w:t xml:space="preserve">Phosphoramidite chemistry with electrochemically-generated-acid deprotection on electrode arrays</w:t>
            </w:r>
          </w:p>
        </w:tc>
        <w:tc>
          <w:p>
            <w:pPr>
              <w:pStyle w:val="Compact"/>
              <w:jc w:val="left"/>
            </w:pPr>
            <w:r>
              <w:t xml:space="preserve">~$10K / ~$5 (est.)</w:t>
            </w:r>
          </w:p>
        </w:tc>
        <w:tc>
          <w:p>
            <w:pPr>
              <w:pStyle w:val="Compact"/>
              <w:jc w:val="left"/>
            </w:pPr>
            <w:r>
              <w:t xml:space="preserve">Not established (TRL 3) — 13–17-mer academic demos only</w:t>
            </w:r>
          </w:p>
        </w:tc>
        <w:tc>
          <w:p>
            <w:pPr>
              <w:pStyle w:val="Compact"/>
              <w:jc w:val="left"/>
            </w:pPr>
            <w:r>
              <w:t xml:space="preserve">High ease — commodity electrodes (why it is concerning</w:t>
            </w:r>
            <w:r>
              <w:t xml:space="preserve"> </w:t>
            </w:r>
            <w:r>
              <w:rPr>
                <w:i/>
              </w:rPr>
              <w:t xml:space="preserve">if</w:t>
            </w:r>
            <w:r>
              <w:t xml:space="preserve"> </w:t>
            </w:r>
            <w:r>
              <w:t xml:space="preserve">it matures)</w:t>
            </w:r>
          </w:p>
        </w:tc>
        <w:tc>
          <w:p>
            <w:pPr>
              <w:pStyle w:val="Compact"/>
              <w:jc w:val="left"/>
            </w:pPr>
            <w:r>
              <w:rPr>
                <w:b/>
              </w:rPr>
              <w:t xml:space="preserve">No independent DIY build published</w:t>
            </w:r>
            <w:r>
              <w:t xml:space="preserve"> </w:t>
            </w:r>
            <w:r>
              <w:t xml:space="preserve">— academic + defunct-commercial only</w:t>
            </w:r>
          </w:p>
        </w:tc>
      </w:tr>
      <w:tr>
        <w:tc>
          <w:p>
            <w:pPr>
              <w:pStyle w:val="Compact"/>
              <w:jc w:val="left"/>
            </w:pPr>
            <w:r>
              <w:rPr>
                <w:b/>
              </w:rPr>
              <w:t xml:space="preserve">Enzymatic (TdT)</w:t>
            </w:r>
          </w:p>
        </w:tc>
        <w:tc>
          <w:p>
            <w:pPr>
              <w:pStyle w:val="Compact"/>
              <w:jc w:val="left"/>
            </w:pPr>
            <w:r>
              <w:t xml:space="preserve">Template-independent polymerase adds nucleotides in aqueous conditions</w:t>
            </w:r>
          </w:p>
        </w:tc>
        <w:tc>
          <w:p>
            <w:pPr>
              <w:pStyle w:val="Compact"/>
              <w:jc w:val="left"/>
            </w:pPr>
            <w:r>
              <w:rPr>
                <w:i/>
              </w:rPr>
              <w:t xml:space="preserve">Commercial (SYNTAX):</w:t>
            </w:r>
            <w:r>
              <w:t xml:space="preserve"> </w:t>
            </w:r>
            <w:r>
              <w:t xml:space="preserve">~€250–280K / €0.11–0.26 per base (vendor quote).</w:t>
            </w:r>
            <w:r>
              <w:t xml:space="preserve"> </w:t>
            </w:r>
            <w:r>
              <w:rPr>
                <w:i/>
              </w:rPr>
              <w:t xml:space="preserve">DIY (Church route):</w:t>
            </w:r>
            <w:r>
              <w:t xml:space="preserve"> </w:t>
            </w:r>
            <w:r>
              <w:t xml:space="preserve">low capital</w:t>
            </w:r>
          </w:p>
        </w:tc>
        <w:tc>
          <w:p>
            <w:pPr>
              <w:pStyle w:val="Compact"/>
              <w:jc w:val="left"/>
            </w:pPr>
            <w:r>
              <w:rPr>
                <w:i/>
              </w:rPr>
              <w:t xml:space="preserve">Commercial:</w:t>
            </w:r>
            <w:r>
              <w:t xml:space="preserve"> </w:t>
            </w:r>
            <w:r>
              <w:t xml:space="preserve">80 nt Std / 120 nt Hi-Fi.</w:t>
            </w:r>
            <w:r>
              <w:t xml:space="preserve"> </w:t>
            </w:r>
            <w:r>
              <w:rPr>
                <w:i/>
              </w:rPr>
              <w:t xml:space="preserve">DIY:</w:t>
            </w:r>
            <w:r>
              <w:t xml:space="preserve"> </w:t>
            </w:r>
            <w:r>
              <w:t xml:space="preserve">not defined-sequence</w:t>
            </w:r>
          </w:p>
        </w:tc>
        <w:tc>
          <w:p>
            <w:pPr>
              <w:pStyle w:val="Compact"/>
              <w:jc w:val="left"/>
            </w:pPr>
            <w:r>
              <w:rPr>
                <w:i/>
              </w:rPr>
              <w:t xml:space="preserve">Commercial:</w:t>
            </w:r>
            <w:r>
              <w:t xml:space="preserve"> </w:t>
            </w:r>
            <w:r>
              <w:t xml:space="preserve">proprietary enzyme/cartridge = licensing chokepoint.</w:t>
            </w:r>
            <w:r>
              <w:t xml:space="preserve"> </w:t>
            </w:r>
            <w:r>
              <w:rPr>
                <w:i/>
              </w:rPr>
              <w:t xml:space="preserve">DIY:</w:t>
            </w:r>
            <w:r>
              <w:t xml:space="preserve"> </w:t>
            </w:r>
            <w:r>
              <w:t xml:space="preserve">off-the-shelf TdT/dNTPs/apyrase</w:t>
            </w:r>
          </w:p>
        </w:tc>
        <w:tc>
          <w:p>
            <w:pPr>
              <w:pStyle w:val="Compact"/>
              <w:jc w:val="left"/>
            </w:pPr>
            <w:r>
              <w:rPr>
                <w:b/>
              </w:rPr>
              <w:t xml:space="preserve">Benchtop ≠ DIY</w:t>
            </w:r>
            <w:r>
              <w:t xml:space="preserve"> </w:t>
            </w:r>
            <w:r>
              <w:t xml:space="preserve">(closed cartridge). Only the Church terminator-free route is off-the-shelf, and it is</w:t>
            </w:r>
            <w:r>
              <w:t xml:space="preserve"> </w:t>
            </w:r>
            <w:r>
              <w:rPr>
                <w:b/>
              </w:rPr>
              <w:t xml:space="preserve">data-storage only</w:t>
            </w:r>
          </w:p>
        </w:tc>
      </w:tr>
      <w:tr>
        <w:tc>
          <w:p>
            <w:pPr>
              <w:pStyle w:val="Compact"/>
              <w:jc w:val="left"/>
            </w:pPr>
            <w:r>
              <w:rPr>
                <w:b/>
              </w:rPr>
              <w:t xml:space="preserve">Commercial benchtop</w:t>
            </w:r>
            <w:r>
              <w:t xml:space="preserve"> </w:t>
            </w:r>
            <w:r>
              <w:t xml:space="preserve">(column, e.g. Kilobaser, MerMade)</w:t>
            </w:r>
          </w:p>
        </w:tc>
        <w:tc>
          <w:p>
            <w:pPr>
              <w:pStyle w:val="Compact"/>
              <w:jc w:val="left"/>
            </w:pPr>
            <w:r>
              <w:t xml:space="preserve">Standard solid-phase phosphoramidite column synthesis in a benchtop box</w:t>
            </w:r>
          </w:p>
        </w:tc>
        <w:tc>
          <w:p>
            <w:pPr>
              <w:pStyle w:val="Compact"/>
              <w:jc w:val="left"/>
            </w:pPr>
            <w:r>
              <w:t xml:space="preserve">~$15–150K (best ~$60K; used $15–30K) / varies</w:t>
            </w:r>
          </w:p>
        </w:tc>
        <w:tc>
          <w:p>
            <w:pPr>
              <w:pStyle w:val="Compact"/>
              <w:jc w:val="left"/>
            </w:pPr>
            <w:r>
              <w:t xml:space="preserve">~100–150+ nt at good fidelity — mature</w:t>
            </w:r>
          </w:p>
        </w:tc>
        <w:tc>
          <w:p>
            <w:pPr>
              <w:pStyle w:val="Compact"/>
              <w:jc w:val="left"/>
            </w:pPr>
            <w:r>
              <w:t xml:space="preserve">Medium — reagents commodity; instruments on used/eBay market</w:t>
            </w:r>
          </w:p>
        </w:tc>
        <w:tc>
          <w:p>
            <w:pPr>
              <w:pStyle w:val="Compact"/>
              <w:jc w:val="left"/>
            </w:pPr>
            <w:r>
              <w:t xml:space="preserve">Medium–High — turnkey (baseline, not DIY)</w:t>
            </w:r>
          </w:p>
        </w:tc>
      </w:tr>
      <w:tr>
        <w:tc>
          <w:p>
            <w:pPr>
              <w:pStyle w:val="Compact"/>
              <w:jc w:val="left"/>
            </w:pPr>
            <w:r>
              <w:rPr>
                <w:b/>
              </w:rPr>
              <w:t xml:space="preserve">Commercial provider</w:t>
            </w:r>
            <w:r>
              <w:t xml:space="preserve"> </w:t>
            </w:r>
            <w:r>
              <w:t xml:space="preserve">(mail-order, e.g. Twist/IDT/GenScript)</w:t>
            </w:r>
          </w:p>
        </w:tc>
        <w:tc>
          <w:p>
            <w:pPr>
              <w:pStyle w:val="Compact"/>
              <w:jc w:val="left"/>
            </w:pPr>
            <w:r>
              <w:t xml:space="preserve">Centralized industrial synthesis + gene assembly; order online, receive DNA</w:t>
            </w:r>
          </w:p>
        </w:tc>
        <w:tc>
          <w:p>
            <w:pPr>
              <w:pStyle w:val="Compact"/>
              <w:jc w:val="left"/>
            </w:pPr>
            <w:r>
              <w:t xml:space="preserve">none / ~$0.07–0.10 per bp</w:t>
            </w:r>
          </w:p>
        </w:tc>
        <w:tc>
          <w:p>
            <w:pPr>
              <w:pStyle w:val="Compact"/>
              <w:jc w:val="left"/>
            </w:pPr>
            <w:r>
              <w:t xml:space="preserve">Genes/genomes, high fidelity (the benchmark)</w:t>
            </w:r>
          </w:p>
        </w:tc>
        <w:tc>
          <w:p>
            <w:pPr>
              <w:pStyle w:val="Compact"/>
              <w:jc w:val="left"/>
            </w:pPr>
            <w:r>
              <w:t xml:space="preserve">N/A (service)</w:t>
            </w:r>
          </w:p>
        </w:tc>
        <w:tc>
          <w:p>
            <w:pPr>
              <w:pStyle w:val="Compact"/>
              <w:jc w:val="left"/>
            </w:pPr>
            <w:r>
              <w:t xml:space="preserve">Highest ease — but this is the screened channel (IGSC / SecureDNA)</w:t>
            </w:r>
          </w:p>
        </w:tc>
      </w:tr>
    </w:tbl>
    <w:p>
      <w:pPr>
        <w:pStyle w:val="BodyText"/>
      </w:pPr>
      <w:r>
        <w:rPr>
          <w:b/>
        </w:rPr>
        <w:t xml:space="preserve">Reading Table A (DIY focus).</w:t>
      </w:r>
      <w:r>
        <w:t xml:space="preserve"> </w:t>
      </w:r>
      <w:r>
        <w:t xml:space="preserve">The genuinely DIY-reproducible</w:t>
      </w:r>
      <w:r>
        <w:t xml:space="preserve"> </w:t>
      </w:r>
      <w:r>
        <w:rPr>
          <w:i/>
        </w:rPr>
        <w:t xml:space="preserve">de novo</w:t>
      </w:r>
      <w:r>
        <w:t xml:space="preserve"> </w:t>
      </w:r>
      <w:r>
        <w:t xml:space="preserve">synthesizers are</w:t>
      </w:r>
      <w:r>
        <w:t xml:space="preserve"> </w:t>
      </w:r>
      <w:r>
        <w:rPr>
          <w:b/>
        </w:rPr>
        <w:t xml:space="preserve">OpenIDS/OpenIDS2</w:t>
      </w:r>
      <w:r>
        <w:t xml:space="preserve"> </w:t>
      </w:r>
      <w:r>
        <w:t xml:space="preserve">(inkjet) and</w:t>
      </w:r>
      <w:r>
        <w:t xml:space="preserve"> </w:t>
      </w:r>
      <w:r>
        <w:rPr>
          <w:b/>
        </w:rPr>
        <w:t xml:space="preserve">MAS 2.0</w:t>
      </w:r>
      <w:r>
        <w:t xml:space="preserve"> </w:t>
      </w:r>
      <w:r>
        <w:t xml:space="preserve">(photolithographic).</w:t>
      </w:r>
      <w:r>
        <w:t xml:space="preserve"> </w:t>
      </w:r>
      <w:r>
        <w:rPr>
          <w:b/>
        </w:rPr>
        <w:t xml:space="preserve">DropSynth</w:t>
      </w:r>
      <w:r>
        <w:t xml:space="preserve"> </w:t>
      </w:r>
      <w:r>
        <w:t xml:space="preserve">is DIY-reproducible</w:t>
      </w:r>
      <w:r>
        <w:t xml:space="preserve"> </w:t>
      </w:r>
      <w:r>
        <w:rPr>
          <w:i/>
        </w:rPr>
        <w:t xml:space="preserve">gene assembly</w:t>
      </w:r>
      <w:r>
        <w:t xml:space="preserve"> </w:t>
      </w:r>
      <w:r>
        <w:t xml:space="preserve">but still consumes a commercial (screenable) oligo pool. Enzymatic-benchtop and both commercial rows are the</w:t>
      </w:r>
      <w:r>
        <w:t xml:space="preserve"> </w:t>
      </w:r>
      <w:r>
        <w:rPr>
          <w:b/>
        </w:rPr>
        <w:t xml:space="preserve">screenable baseline</w:t>
      </w:r>
      <w:r>
        <w:t xml:space="preserve">. A 2026 survey found no working homebrew/garage synthesizer beyond these academic open-hardware platforms + DropSynth-style assembly.</w:t>
      </w:r>
      <w:r>
        <w:t xml:space="preserve"> </w:t>
      </w:r>
      <w:r>
        <w:rPr>
          <w:i/>
        </w:rPr>
        <w:t xml:space="preserve">OOS = out of scope.</w:t>
      </w:r>
    </w:p>
    <w:p>
      <w:pPr>
        <w:pStyle w:val="Heading2"/>
      </w:pPr>
      <w:bookmarkStart w:id="23" w:name="X298c5fb6c039b2d94b4a7869890923c8231c859"/>
      <w:r>
        <w:t xml:space="preserve">Table B — Risk and readiness (the biosecurity read)</w:t>
      </w:r>
      <w:bookmarkEnd w:id="2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TRL</w:t>
            </w:r>
          </w:p>
        </w:tc>
        <w:tc>
          <w:tcPr>
            <w:tcBorders>
              <w:bottom w:val="single"/>
            </w:tcBorders>
            <w:vAlign w:val="bottom"/>
          </w:tcPr>
          <w:p>
            <w:pPr>
              <w:pStyle w:val="Compact"/>
              <w:jc w:val="left"/>
            </w:pPr>
            <w:r>
              <w:t xml:space="preserve">Assembly readiness</w:t>
            </w:r>
          </w:p>
        </w:tc>
        <w:tc>
          <w:tcPr>
            <w:tcBorders>
              <w:bottom w:val="single"/>
            </w:tcBorders>
            <w:vAlign w:val="bottom"/>
          </w:tcPr>
          <w:p>
            <w:pPr>
              <w:pStyle w:val="Compact"/>
              <w:jc w:val="left"/>
            </w:pPr>
            <w:r>
              <w:t xml:space="preserve">Detectability</w:t>
            </w:r>
          </w:p>
        </w:tc>
        <w:tc>
          <w:tcPr>
            <w:tcBorders>
              <w:bottom w:val="single"/>
            </w:tcBorders>
            <w:vAlign w:val="bottom"/>
          </w:tcPr>
          <w:p>
            <w:pPr>
              <w:pStyle w:val="Compact"/>
              <w:jc w:val="left"/>
            </w:pPr>
            <w:r>
              <w:t xml:space="preserve">Control / biosecurity note</w:t>
            </w:r>
          </w:p>
        </w:tc>
      </w:tr>
      <w:tr>
        <w:tc>
          <w:p>
            <w:pPr>
              <w:pStyle w:val="Compact"/>
              <w:jc w:val="left"/>
            </w:pPr>
            <w:r>
              <w:rPr>
                <w:b/>
              </w:rPr>
              <w:t xml:space="preserve">OpenIDS v1 / v2</w:t>
            </w:r>
          </w:p>
        </w:tc>
        <w:tc>
          <w:p>
            <w:pPr>
              <w:pStyle w:val="Compact"/>
              <w:jc w:val="left"/>
            </w:pPr>
            <w:r>
              <w:t xml:space="preserve">5</w:t>
            </w:r>
          </w:p>
        </w:tc>
        <w:tc>
          <w:p>
            <w:pPr>
              <w:pStyle w:val="Compact"/>
              <w:jc w:val="left"/>
            </w:pPr>
            <w:r>
              <w:t xml:space="preserve">Low — short (~15–30 nt), ~55% full-length; not directly gene-assembly-ready</w:t>
            </w:r>
          </w:p>
        </w:tc>
        <w:tc>
          <w:p>
            <w:pPr>
              <w:pStyle w:val="Compact"/>
              <w:jc w:val="left"/>
            </w:pPr>
            <w:r>
              <w:t xml:space="preserve">Moderate</w:t>
            </w:r>
          </w:p>
        </w:tc>
        <w:tc>
          <w:p>
            <w:pPr>
              <w:pStyle w:val="Compact"/>
              <w:jc w:val="left"/>
            </w:pPr>
            <w:r>
              <w:t xml:space="preserve">Visible bench kit; printhead sourcing traceable; low assembly-readiness caps the threat</w:t>
            </w:r>
          </w:p>
        </w:tc>
      </w:tr>
      <w:tr>
        <w:tc>
          <w:p>
            <w:pPr>
              <w:pStyle w:val="Compact"/>
              <w:jc w:val="left"/>
            </w:pPr>
            <w:r>
              <w:rPr>
                <w:b/>
              </w:rPr>
              <w:t xml:space="preserve">MAS 2.0 / AMS</w:t>
            </w:r>
          </w:p>
        </w:tc>
        <w:tc>
          <w:p>
            <w:pPr>
              <w:pStyle w:val="Compact"/>
              <w:jc w:val="left"/>
            </w:pPr>
            <w:r>
              <w:t xml:space="preserve">5–6 (open build)</w:t>
            </w:r>
          </w:p>
        </w:tc>
        <w:tc>
          <w:p>
            <w:pPr>
              <w:pStyle w:val="Compact"/>
              <w:jc w:val="left"/>
            </w:pPr>
            <w:r>
              <w:t xml:space="preserve">Medium — library-grade output for assembly</w:t>
            </w:r>
          </w:p>
        </w:tc>
        <w:tc>
          <w:p>
            <w:pPr>
              <w:pStyle w:val="Compact"/>
              <w:jc w:val="left"/>
            </w:pPr>
            <w:r>
              <w:t xml:space="preserve">Moderate</w:t>
            </w:r>
          </w:p>
        </w:tc>
        <w:tc>
          <w:p>
            <w:pPr>
              <w:pStyle w:val="Compact"/>
              <w:jc w:val="left"/>
            </w:pPr>
            <w:r>
              <w:t xml:space="preserve">Fully open photolithographic build; optics + photolabile-amidite barrier; the DIY twin of the array/photolith class</w:t>
            </w:r>
          </w:p>
        </w:tc>
      </w:tr>
      <w:tr>
        <w:tc>
          <w:p>
            <w:pPr>
              <w:pStyle w:val="Compact"/>
              <w:jc w:val="left"/>
            </w:pPr>
            <w:r>
              <w:rPr>
                <w:b/>
              </w:rPr>
              <w:t xml:space="preserve">DropSynth</w:t>
            </w:r>
          </w:p>
        </w:tc>
        <w:tc>
          <w:p>
            <w:pPr>
              <w:pStyle w:val="Compact"/>
              <w:jc w:val="left"/>
            </w:pPr>
            <w:r>
              <w:t xml:space="preserve">4</w:t>
            </w:r>
          </w:p>
        </w:tc>
        <w:tc>
          <w:p>
            <w:pPr>
              <w:pStyle w:val="Compact"/>
              <w:jc w:val="left"/>
            </w:pPr>
            <w:r>
              <w:t xml:space="preserve">High (it</w:t>
            </w:r>
            <w:r>
              <w:t xml:space="preserve"> </w:t>
            </w:r>
            <w:r>
              <w:rPr>
                <w:i/>
              </w:rPr>
              <w:t xml:space="preserve">is</w:t>
            </w:r>
            <w:r>
              <w:t xml:space="preserve"> </w:t>
            </w:r>
            <w:r>
              <w:t xml:space="preserve">assembly) — but gated by expertise + a commercial oligo pool</w:t>
            </w:r>
          </w:p>
        </w:tc>
        <w:tc>
          <w:p>
            <w:pPr>
              <w:pStyle w:val="Compact"/>
              <w:jc w:val="left"/>
            </w:pPr>
            <w:r>
              <w:t xml:space="preserve">Moderate</w:t>
            </w:r>
          </w:p>
        </w:tc>
        <w:tc>
          <w:p>
            <w:pPr>
              <w:pStyle w:val="Compact"/>
              <w:jc w:val="left"/>
            </w:pPr>
            <w:r>
              <w:t xml:space="preserve">Assembles genes (higher intrinsic risk) but</w:t>
            </w:r>
            <w:r>
              <w:t xml:space="preserve"> </w:t>
            </w:r>
            <w:r>
              <w:rPr>
                <w:b/>
              </w:rPr>
              <w:t xml:space="preserve">inherits the screening perimeter via its oligo-pool input</w:t>
            </w:r>
            <w:r>
              <w:t xml:space="preserve">; not DIY-adopted</w:t>
            </w:r>
          </w:p>
        </w:tc>
      </w:tr>
      <w:tr>
        <w:tc>
          <w:p>
            <w:pPr>
              <w:pStyle w:val="Compact"/>
              <w:jc w:val="left"/>
            </w:pPr>
            <w:r>
              <w:rPr>
                <w:b/>
              </w:rPr>
              <w:t xml:space="preserve">Electrochemical</w:t>
            </w:r>
          </w:p>
        </w:tc>
        <w:tc>
          <w:p>
            <w:pPr>
              <w:pStyle w:val="Compact"/>
              <w:jc w:val="left"/>
            </w:pPr>
            <w:r>
              <w:t xml:space="preserve">3</w:t>
            </w:r>
          </w:p>
        </w:tc>
        <w:tc>
          <w:p>
            <w:pPr>
              <w:pStyle w:val="Compact"/>
              <w:jc w:val="left"/>
            </w:pPr>
            <w:r>
              <w:t xml:space="preserve">Unknown (pre-commercial)</w:t>
            </w:r>
          </w:p>
        </w:tc>
        <w:tc>
          <w:p>
            <w:pPr>
              <w:pStyle w:val="Compact"/>
              <w:jc w:val="left"/>
            </w:pPr>
            <w:r>
              <w:t xml:space="preserve">High (≈9/10, near-invisible)</w:t>
            </w:r>
          </w:p>
        </w:tc>
        <w:tc>
          <w:p>
            <w:pPr>
              <w:pStyle w:val="Compact"/>
              <w:jc w:val="left"/>
            </w:pPr>
            <w:r>
              <w:t xml:space="preserve">Highest</w:t>
            </w:r>
            <w:r>
              <w:t xml:space="preserve"> </w:t>
            </w:r>
            <w:r>
              <w:rPr>
                <w:i/>
              </w:rPr>
              <w:t xml:space="preserve">potential</w:t>
            </w:r>
            <w:r>
              <w:t xml:space="preserve"> </w:t>
            </w:r>
            <w:r>
              <w:t xml:space="preserve">concern — portable, commodity materials — but</w:t>
            </w:r>
            <w:r>
              <w:t xml:space="preserve"> </w:t>
            </w:r>
            <w:r>
              <w:rPr>
                <w:b/>
              </w:rPr>
              <w:t xml:space="preserve">no DIY build exists</w:t>
            </w:r>
            <w:r>
              <w:t xml:space="preserve">; conditional-future</w:t>
            </w:r>
          </w:p>
        </w:tc>
      </w:tr>
      <w:tr>
        <w:tc>
          <w:p>
            <w:pPr>
              <w:pStyle w:val="Compact"/>
              <w:jc w:val="left"/>
            </w:pPr>
            <w:r>
              <w:rPr>
                <w:b/>
              </w:rPr>
              <w:t xml:space="preserve">Enzymatic</w:t>
            </w:r>
          </w:p>
        </w:tc>
        <w:tc>
          <w:p>
            <w:pPr>
              <w:pStyle w:val="Compact"/>
              <w:jc w:val="left"/>
            </w:pPr>
            <w:r>
              <w:t xml:space="preserve">5 (commercial) / low (DIY)</w:t>
            </w:r>
          </w:p>
        </w:tc>
        <w:tc>
          <w:p>
            <w:pPr>
              <w:pStyle w:val="Compact"/>
              <w:jc w:val="left"/>
            </w:pPr>
            <w:r>
              <w:t xml:space="preserve">Commercial: Medium–High. DIY: low (data-storage only)</w:t>
            </w:r>
          </w:p>
        </w:tc>
        <w:tc>
          <w:p>
            <w:pPr>
              <w:pStyle w:val="Compact"/>
              <w:jc w:val="left"/>
            </w:pPr>
            <w:r>
              <w:t xml:space="preserve">Low–Moderate</w:t>
            </w:r>
          </w:p>
        </w:tc>
        <w:tc>
          <w:p>
            <w:pPr>
              <w:pStyle w:val="Compact"/>
              <w:jc w:val="left"/>
            </w:pPr>
            <w:r>
              <w:t xml:space="preserve">Enzyme/cartridge licensing is a genuine control point;</w:t>
            </w:r>
            <w:r>
              <w:t xml:space="preserve"> </w:t>
            </w:r>
            <w:r>
              <w:rPr>
                <w:b/>
              </w:rPr>
              <w:t xml:space="preserve">defined-sequence enzymatic needs bespoke reagents a well-resourced lab must make</w:t>
            </w:r>
          </w:p>
        </w:tc>
      </w:tr>
      <w:tr>
        <w:tc>
          <w:p>
            <w:pPr>
              <w:pStyle w:val="Compact"/>
              <w:jc w:val="left"/>
            </w:pPr>
            <w:r>
              <w:rPr>
                <w:b/>
              </w:rPr>
              <w:t xml:space="preserve">Commercial benchtop</w:t>
            </w:r>
          </w:p>
        </w:tc>
        <w:tc>
          <w:p>
            <w:pPr>
              <w:pStyle w:val="Compact"/>
              <w:jc w:val="left"/>
            </w:pPr>
            <w:r>
              <w:t xml:space="preserve">9</w:t>
            </w:r>
          </w:p>
        </w:tc>
        <w:tc>
          <w:p>
            <w:pPr>
              <w:pStyle w:val="Compact"/>
              <w:jc w:val="left"/>
            </w:pPr>
            <w:r>
              <w:t xml:space="preserve">High — long, high-fidelity, directly assembly-ready</w:t>
            </w:r>
          </w:p>
        </w:tc>
        <w:tc>
          <w:p>
            <w:pPr>
              <w:pStyle w:val="Compact"/>
              <w:jc w:val="left"/>
            </w:pPr>
            <w:r>
              <w:t xml:space="preserve">Low</w:t>
            </w:r>
          </w:p>
        </w:tc>
        <w:tc>
          <w:p>
            <w:pPr>
              <w:pStyle w:val="Compact"/>
              <w:jc w:val="left"/>
            </w:pPr>
            <w:r>
              <w:t xml:space="preserve">The real near-term concern — mature, ≥150 nt, assembly-ready, largely unscreened, resale market (baseline)</w:t>
            </w:r>
          </w:p>
        </w:tc>
      </w:tr>
      <w:tr>
        <w:tc>
          <w:p>
            <w:pPr>
              <w:pStyle w:val="Compact"/>
              <w:jc w:val="left"/>
            </w:pPr>
            <w:r>
              <w:rPr>
                <w:b/>
              </w:rPr>
              <w:t xml:space="preserve">Commercial provider</w:t>
            </w:r>
          </w:p>
        </w:tc>
        <w:tc>
          <w:p>
            <w:pPr>
              <w:pStyle w:val="Compact"/>
              <w:jc w:val="left"/>
            </w:pPr>
            <w:r>
              <w:t xml:space="preserve">9</w:t>
            </w:r>
          </w:p>
        </w:tc>
        <w:tc>
          <w:p>
            <w:pPr>
              <w:pStyle w:val="Compact"/>
              <w:jc w:val="left"/>
            </w:pPr>
            <w:r>
              <w:t xml:space="preserve">Highest — delivers assembled constructs</w:t>
            </w:r>
          </w:p>
        </w:tc>
        <w:tc>
          <w:p>
            <w:pPr>
              <w:pStyle w:val="Compact"/>
              <w:jc w:val="left"/>
            </w:pPr>
            <w:r>
              <w:t xml:space="preserve">Low</w:t>
            </w:r>
          </w:p>
        </w:tc>
        <w:tc>
          <w:p>
            <w:pPr>
              <w:pStyle w:val="Compact"/>
              <w:jc w:val="left"/>
            </w:pPr>
            <w:r>
              <w:t xml:space="preserve">Baseline + the currently-screened chokepoint; R0/R1 controls act here (IGSC ~80% capacity)</w:t>
            </w:r>
          </w:p>
        </w:tc>
      </w:tr>
    </w:tbl>
    <w:p>
      <w:r>
        <w:pict>
          <v:rect style="width:0;height:1.5pt" o:hralign="center" o:hrstd="t" o:hr="t"/>
        </w:pict>
      </w:r>
    </w:p>
    <w:p>
      <w:pPr>
        <w:pStyle w:val="Heading2"/>
      </w:pPr>
      <w:bookmarkStart w:id="24" w:name="summary-in-one-paragraph"/>
      <w:r>
        <w:t xml:space="preserve">Summary in one paragraph</w:t>
      </w:r>
      <w:bookmarkEnd w:id="24"/>
    </w:p>
    <w:p>
      <w:pPr>
        <w:pStyle w:val="FirstParagraph"/>
      </w:pPr>
      <w:r>
        <w:t xml:space="preserve">Screening is being strengthened, not quietly defeated. It is becoming mandatory and moving onto the synthesis device itself — at the same moment that do-it-yourself and benchtop synthesis capability is proliferating and, increasingly, concentrating in jurisdictions a United States mandate cannot reach. This fellowship characterises the resulting control architecture as a function of the policy regime, asking not</w:t>
      </w:r>
      <w:r>
        <w:t xml:space="preserve"> </w:t>
      </w:r>
      <w:r>
        <w:t xml:space="preserve">“</w:t>
      </w:r>
      <w:r>
        <w:t xml:space="preserve">how do we stop screening from failing?</w:t>
      </w:r>
      <w:r>
        <w:t xml:space="preserve">”</w:t>
      </w:r>
      <w:r>
        <w:t xml:space="preserve"> </w:t>
      </w:r>
      <w:r>
        <w:t xml:space="preserve">but</w:t>
      </w:r>
      <w:r>
        <w:t xml:space="preserve"> </w:t>
      </w:r>
      <w:r>
        <w:t xml:space="preserve">“</w:t>
      </w:r>
      <w:r>
        <w:t xml:space="preserve">as screening becomes mandatory and on-device while devices proliferate, where does control remain robust, where does it erode, and where must policy shift to keep pace through 2030?</w:t>
      </w:r>
      <w:r>
        <w:t xml:space="preserve">”</w:t>
      </w:r>
      <w:r>
        <w:t xml:space="preserve"> </w:t>
      </w:r>
      <w:r>
        <w:t xml:space="preserve">The work produces a regime-conditional readiness index across synthesis chemistries — weighted toward DIY and accessible in-house methods — an assessment of how synthesis capability is reachable</w:t>
      </w:r>
      <w:r>
        <w:t xml:space="preserve"> </w:t>
      </w:r>
      <w:r>
        <w:rPr>
          <w:i/>
        </w:rPr>
        <w:t xml:space="preserve">outside</w:t>
      </w:r>
      <w:r>
        <w:t xml:space="preserve"> </w:t>
      </w:r>
      <w:r>
        <w:t xml:space="preserve">screened manufacturers (jurisdictional reach, legacy installed base, and secondhand channels), a specification for post-hoc synthesis-route attribution now backed by reproduction of four chemistries’ error signatures from deposited sequencing data, and stakeholder-specific policy recommendations.</w:t>
      </w:r>
    </w:p>
    <w:p>
      <w:pPr>
        <w:pStyle w:val="Heading2"/>
      </w:pPr>
      <w:bookmarkStart w:id="25" w:name="why-now"/>
      <w:r>
        <w:t xml:space="preserve">Why now</w:t>
      </w:r>
      <w:bookmarkEnd w:id="25"/>
    </w:p>
    <w:p>
      <w:pPr>
        <w:pStyle w:val="FirstParagraph"/>
      </w:pPr>
      <w:r>
        <w:t xml:space="preserve">Three United States policy instruments define the moment. The White House Office of Science and Technology Policy released its</w:t>
      </w:r>
      <w:r>
        <w:t xml:space="preserve"> </w:t>
      </w:r>
      <w:r>
        <w:rPr>
          <w:i/>
        </w:rPr>
        <w:t xml:space="preserve">Framework for Nucleic Acid Synthesis Screening</w:t>
      </w:r>
      <w:r>
        <w:t xml:space="preserve"> </w:t>
      </w:r>
      <w:r>
        <w:t xml:space="preserve">on 29 April 2024. Its first stage took effect on 26 April 2025, requiring screening of synthetic sequences of 200 nucleotides or longer as a condition of federal research funding. A second stage, scheduled for 13 October 2026, would tighten the screening window to 50 nucleotides and add a functional</w:t>
      </w:r>
      <w:r>
        <w:t xml:space="preserve"> </w:t>
      </w:r>
      <w:r>
        <w:t xml:space="preserve">“</w:t>
      </w:r>
      <w:r>
        <w:t xml:space="preserve">sequence of concern</w:t>
      </w:r>
      <w:r>
        <w:t xml:space="preserve">”</w:t>
      </w:r>
      <w:r>
        <w:t xml:space="preserve"> </w:t>
      </w:r>
      <w:r>
        <w:t xml:space="preserve">definition that captures sequences contributing to pathogenicity or toxicity even when they are not drawn from a listed agent. In May 2025, Executive Order 14292 directed OSTP to revise or replace the 2024 Framework within ninety days; as of late 2026 that replacement remains unpublished, so whether the October 2026 milestone survives on schedule is genuinely uncertain. Running alongside the Framework is a distinct statutory vehicle: Senate bill S. 3741, the</w:t>
      </w:r>
      <w:r>
        <w:t xml:space="preserve"> </w:t>
      </w:r>
      <w:r>
        <w:rPr>
          <w:i/>
        </w:rPr>
        <w:t xml:space="preserve">Biosecurity Modernization and Innovation Act of 2026</w:t>
      </w:r>
      <w:r>
        <w:t xml:space="preserve">, introduced on 29 January 2026 by Senators Cotton and Klobuchar and referred to the Commerce Committee. The Framework is OSTP/HHS-led and funding-conditional; S. 3741 is Commerce-led and would make screening a statutory requirement. Neither alone constitutes the fully</w:t>
      </w:r>
      <w:r>
        <w:t xml:space="preserve"> </w:t>
      </w:r>
      <w:r>
        <w:t xml:space="preserve">“</w:t>
      </w:r>
      <w:r>
        <w:t xml:space="preserve">mandatory and on-device</w:t>
      </w:r>
      <w:r>
        <w:t xml:space="preserve">”</w:t>
      </w:r>
      <w:r>
        <w:t xml:space="preserve"> </w:t>
      </w:r>
      <w:r>
        <w:t xml:space="preserve">regime this project models — that is a forward projection, conditional on both the Framework revision being issued as expected and S. 3741 (or an equivalent) being enacted.</w:t>
      </w:r>
    </w:p>
    <w:p>
      <w:pPr>
        <w:pStyle w:val="BodyText"/>
      </w:pPr>
      <w:r>
        <w:t xml:space="preserve">Two regimes anchor the whole analysis.</w:t>
      </w:r>
      <w:r>
        <w:t xml:space="preserve"> </w:t>
      </w:r>
      <w:r>
        <w:rPr>
          <w:b/>
        </w:rPr>
        <w:t xml:space="preserve">R0 is the status quo as of October 2026</w:t>
      </w:r>
      <w:r>
        <w:t xml:space="preserve"> </w:t>
      </w:r>
      <w:r>
        <w:t xml:space="preserve">— the near-present, and the reason R1 is close: the Framework revision is pending, the International Gene Synthesis Consortium’s harmonised protocol is voluntary, and there is no on-device screening mandate.</w:t>
      </w:r>
      <w:r>
        <w:t xml:space="preserve"> </w:t>
      </w:r>
      <w:r>
        <w:rPr>
          <w:b/>
        </w:rPr>
        <w:t xml:space="preserve">R1 is the projected regime</w:t>
      </w:r>
      <w:r>
        <w:t xml:space="preserve"> </w:t>
      </w:r>
      <w:r>
        <w:t xml:space="preserve">in which mandatory synthesis screening</w:t>
      </w:r>
      <w:r>
        <w:t xml:space="preserve"> </w:t>
      </w:r>
      <w:r>
        <w:rPr>
          <w:i/>
        </w:rPr>
        <w:t xml:space="preserve">and</w:t>
      </w:r>
      <w:r>
        <w:t xml:space="preserve"> </w:t>
      </w:r>
      <w:r>
        <w:t xml:space="preserve">on-device benchtop screening are in force for commercial providers and manufacturers, with a 50-nucleotide detection window and functional sequence-of-concern detection. Every dimension is scored under both — but the analytically interesting object is not whether screening works. It is the</w:t>
      </w:r>
      <w:r>
        <w:t xml:space="preserve"> </w:t>
      </w:r>
      <w:r>
        <w:rPr>
          <w:b/>
        </w:rPr>
        <w:t xml:space="preserve">residual DIY gap</w:t>
      </w:r>
      <w:r>
        <w:t xml:space="preserve">: the synthesis capability that remains outside the perimeter once commercial and benchtop synthesis are screened. That gap — DIY and in-house protocols reached by neither a provider mandate nor a device mandate — is what the R0→R1 change exposes, and it is what the project is built to characterise.</w:t>
      </w:r>
    </w:p>
    <w:p>
      <w:pPr>
        <w:pStyle w:val="Heading2"/>
      </w:pPr>
      <w:bookmarkStart w:id="26" w:name="the-four-workstreams"/>
      <w:r>
        <w:t xml:space="preserve">The four workstreams</w:t>
      </w:r>
      <w:bookmarkEnd w:id="26"/>
    </w:p>
    <w:p>
      <w:pPr>
        <w:pStyle w:val="FirstParagraph"/>
      </w:pPr>
      <w:r>
        <w:rPr>
          <w:b/>
        </w:rPr>
        <w:t xml:space="preserve">1. A regime-conditional Technology Readiness Index, weighted toward DIY.</w:t>
      </w:r>
      <w:r>
        <w:t xml:space="preserve"> </w:t>
      </w:r>
      <w:r>
        <w:t xml:space="preserve">Each DIY and benchtop synthesis chemistry — phosphoramidite column, array-based (photolithographic and electrochemical), enzymatic, and droplet-based assembly — is inventoried and scored across risk-relevant dimensions, with detectability and supply-chain vulnerability scored as regime pairs (R0 versus R1). Technology Readiness Level (TRL 1–9) here ranks how close a route is to a</w:t>
      </w:r>
      <w:r>
        <w:t xml:space="preserve"> </w:t>
      </w:r>
      <w:r>
        <w:rPr>
          <w:i/>
        </w:rPr>
        <w:t xml:space="preserve">working, assembly-ready capability a non-expert could stand up</w:t>
      </w:r>
      <w:r>
        <w:t xml:space="preserve">, not its scientific novelty; the analytical weight sits in the</w:t>
      </w:r>
      <w:r>
        <w:t xml:space="preserve"> </w:t>
      </w:r>
      <w:r>
        <w:rPr>
          <w:b/>
        </w:rPr>
        <w:t xml:space="preserve">TRL 3–6 band</w:t>
      </w:r>
      <w:r>
        <w:t xml:space="preserve">, where capability meets reproducibility outside a major provider, while high-TRL commercial systems (7–9) are scored only as a baseline reached by purchase or secondhand acquisition. Two methodological choices give the index its discipline. First, capability is scored by</w:t>
      </w:r>
      <w:r>
        <w:t xml:space="preserve"> </w:t>
      </w:r>
      <w:r>
        <w:rPr>
          <w:b/>
        </w:rPr>
        <w:t xml:space="preserve">usable length at high fidelity</w:t>
      </w:r>
      <w:r>
        <w:t xml:space="preserve"> </w:t>
      </w:r>
      <w:r>
        <w:t xml:space="preserve">rather than advertised maximum length: at 98% per-step coupling a 30-mer emerges full-length only ~55% of the time, and OpenIDS delivers roughly 55–56% full-length for a short oligo — well below the &gt;90%-full-length quality gene assembly needs. Second, every input carries lower/best/upper bounds and a HIGH/MEDIUM/LOW confidence tag, and conclusions face a worst-case survival test: do the qualitative findings hold if every uncertain input sits at its worst bound? The deliverable is an interactive workbook showing R0 and R1 detectability side by side, with a sensitivity analysis identifying which inputs drive rank changes.</w:t>
      </w:r>
    </w:p>
    <w:p>
      <w:pPr>
        <w:pStyle w:val="BodyText"/>
      </w:pPr>
      <w:r>
        <w:rPr>
          <w:b/>
        </w:rPr>
        <w:t xml:space="preserve">2. Accessibility and reach of synthesis capability.</w:t>
      </w:r>
      <w:r>
        <w:t xml:space="preserve"> </w:t>
      </w:r>
      <w:r>
        <w:t xml:space="preserve">Rather than re-inventory the commercial benchtop manufacturers — already mapped within the ERA/IBBIS working group — this workstream asks how</w:t>
      </w:r>
      <w:r>
        <w:t xml:space="preserve"> </w:t>
      </w:r>
      <w:r>
        <w:rPr>
          <w:i/>
        </w:rPr>
        <w:t xml:space="preserve">reachable</w:t>
      </w:r>
      <w:r>
        <w:t xml:space="preserve"> </w:t>
      </w:r>
      <w:r>
        <w:t xml:space="preserve">synthesis capability actually is, which a census does not answer. It has three parts: (a) the</w:t>
      </w:r>
      <w:r>
        <w:t xml:space="preserve"> </w:t>
      </w:r>
      <w:r>
        <w:rPr>
          <w:b/>
        </w:rPr>
        <w:t xml:space="preserve">jurisdictional reach</w:t>
      </w:r>
      <w:r>
        <w:t xml:space="preserve"> </w:t>
      </w:r>
      <w:r>
        <w:t xml:space="preserve">of a US mandate across the known manufacturer base; (b) the</w:t>
      </w:r>
      <w:r>
        <w:t xml:space="preserve"> </w:t>
      </w:r>
      <w:r>
        <w:rPr>
          <w:b/>
        </w:rPr>
        <w:t xml:space="preserve">legacy installed base and secondhand/used-equipment channels</w:t>
      </w:r>
      <w:r>
        <w:t xml:space="preserve"> </w:t>
      </w:r>
      <w:r>
        <w:t xml:space="preserve">that place even screened-by-design devices into unscreened hands, outside know-your-customer controls; and (c)</w:t>
      </w:r>
      <w:r>
        <w:t xml:space="preserve"> </w:t>
      </w:r>
      <w:r>
        <w:rPr>
          <w:b/>
        </w:rPr>
        <w:t xml:space="preserve">DIY and accessible in-house protocols from the literature</w:t>
      </w:r>
      <w:r>
        <w:t xml:space="preserve"> </w:t>
      </w:r>
      <w:r>
        <w:t xml:space="preserve">— the frontier no manufacturer inventory captures, and where the residual gap under R1 actually lives. The manufacturer inventory is used as a substrate and credited to the IBBIS group; the scoring layer — per-route accessibility and residual-gap exposure under R1 — is the contribution. Per-device security-posture assessment is held pending IBBIS infohazard review.</w:t>
      </w:r>
    </w:p>
    <w:p>
      <w:pPr>
        <w:pStyle w:val="BodyText"/>
      </w:pPr>
      <w:r>
        <w:rPr>
          <w:b/>
        </w:rPr>
        <w:t xml:space="preserve">3. A synthesis-route attribution framework — now measured, not only specified.</w:t>
      </w:r>
      <w:r>
        <w:t xml:space="preserve"> </w:t>
      </w:r>
      <w:r>
        <w:t xml:space="preserve">Because prevention is imperfect by design, the project specifies a post-hoc capability: can the synthesis route be inferred from characteristic error signatures in a product’s sequence, using sequencing reads alone and without any cooperation from the device? The scope is stated honestly — this is</w:t>
      </w:r>
      <w:r>
        <w:t xml:space="preserve"> </w:t>
      </w:r>
      <w:r>
        <w:rPr>
          <w:b/>
        </w:rPr>
        <w:t xml:space="preserve">class-level</w:t>
      </w:r>
      <w:r>
        <w:t xml:space="preserve"> </w:t>
      </w:r>
      <w:r>
        <w:t xml:space="preserve">attribution (</w:t>
      </w:r>
      <w:r>
        <w:t xml:space="preserve">“</w:t>
      </w:r>
      <w:r>
        <w:t xml:space="preserve">this came off an array-based process</w:t>
      </w:r>
      <w:r>
        <w:t xml:space="preserve">”</w:t>
      </w:r>
      <w:r>
        <w:t xml:space="preserve">), not device-level (</w:t>
      </w:r>
      <w:r>
        <w:t xml:space="preserve">“</w:t>
      </w:r>
      <w:r>
        <w:t xml:space="preserve">this serial number</w:t>
      </w:r>
      <w:r>
        <w:t xml:space="preserve">”</w:t>
      </w:r>
      <w:r>
        <w:t xml:space="preserve">). Since the specification was drafted, the framework has moved from proposal to proof: the error signatures of</w:t>
      </w:r>
      <w:r>
        <w:t xml:space="preserve"> </w:t>
      </w:r>
      <w:r>
        <w:rPr>
          <w:b/>
        </w:rPr>
        <w:t xml:space="preserve">four synthesis chemistries</w:t>
      </w:r>
      <w:r>
        <w:t xml:space="preserve"> </w:t>
      </w:r>
      <w:r>
        <w:t xml:space="preserve">have been independently reproduced from deposited sequencing data — column phosphoramidite (capping-driven G→A), manufacturer/batch profiles, photolithographic (G→T), and electrochemical (high-deletion with a 5′ gradient) — and class-level attribution</w:t>
      </w:r>
      <w:r>
        <w:t xml:space="preserve"> </w:t>
      </w:r>
      <w:r>
        <w:rPr>
          <w:i/>
        </w:rPr>
        <w:t xml:space="preserve">measured</w:t>
      </w:r>
      <w:r>
        <w:t xml:space="preserve"> </w:t>
      </w:r>
      <w:r>
        <w:t xml:space="preserve">(capping chemistry separated at 100% leave-run-out; four-vendor manufacturer attribution at 75%, permutation p&lt;0.001). Its investigative value scales inversely with how many devices share a signature: array-based synthesis is a small handful of firms globally, whereas phosphoramidite column chemistry spans dozens of vendors plus thirty years of installed base, so attribution to that class narrows an investigation little. Following the genetic-engineering-attribution literature (Alley et al., 2020; Crook et al., 2022),</w:t>
      </w:r>
      <w:r>
        <w:t xml:space="preserve"> </w:t>
      </w:r>
      <w:r>
        <w:rPr>
          <w:b/>
        </w:rPr>
        <w:t xml:space="preserve">exclusion is the primary value</w:t>
      </w:r>
      <w:r>
        <w:t xml:space="preserve"> </w:t>
      </w:r>
      <w:r>
        <w:t xml:space="preserve">— ruling out a commercial-provider origin redirects an investigation from subpoenaing order records toward searching for equipment.</w:t>
      </w:r>
    </w:p>
    <w:p>
      <w:pPr>
        <w:pStyle w:val="BodyText"/>
      </w:pPr>
      <w:r>
        <w:rPr>
          <w:b/>
        </w:rPr>
        <w:t xml:space="preserve">4. Policy recommendations.</w:t>
      </w:r>
      <w:r>
        <w:t xml:space="preserve"> </w:t>
      </w:r>
      <w:r>
        <w:t xml:space="preserve">The findings are translated into recommendations for regulators (OSTP, HHS/ASPR, IGSC), manufacturers, researchers, and funders, each with investment priorities and timelines, covering the 2026–2030 window.</w:t>
      </w:r>
    </w:p>
    <w:p>
      <w:pPr>
        <w:pStyle w:val="Heading2"/>
      </w:pPr>
      <w:bookmarkStart w:id="27" w:name="what-the-preliminary-work-already-shows"/>
      <w:r>
        <w:t xml:space="preserve">What the preliminary work already shows</w:t>
      </w:r>
      <w:bookmarkEnd w:id="27"/>
    </w:p>
    <w:p>
      <w:pPr>
        <w:pStyle w:val="FirstParagraph"/>
      </w:pPr>
      <w:r>
        <w:t xml:space="preserve">The single most consequential early finding is about</w:t>
      </w:r>
      <w:r>
        <w:t xml:space="preserve"> </w:t>
      </w:r>
      <w:r>
        <w:rPr>
          <w:b/>
        </w:rPr>
        <w:t xml:space="preserve">reach, not manufacturing</w:t>
      </w:r>
      <w:r>
        <w:t xml:space="preserve">. Of the 34 benchtop manufacturers inventoried within the ERA/IBBIS group, only 8 are US-headquartered and therefore directly bound by a US mandate; 12 sit in allied jurisdictions reachable through harmonisation or diplomacy; and 14 sit outside both. More tellingly, the frontier is drifting away from reach: 5 of the 9 firms founded since 2019 are outside US jurisdiction, including the array-based class with the highest throughput. And reach erodes further once</w:t>
      </w:r>
      <w:r>
        <w:t xml:space="preserve"> </w:t>
      </w:r>
      <w:r>
        <w:rPr>
          <w:i/>
        </w:rPr>
        <w:t xml:space="preserve">secondhand and legacy</w:t>
      </w:r>
      <w:r>
        <w:t xml:space="preserve"> </w:t>
      </w:r>
      <w:r>
        <w:t xml:space="preserve">channels are counted: roughly 35% of firms predate 2010 — a legacy installed base that cannot be retrofitted with know-your-customer checks, secure boot, or on-device screening — and a used-equipment resale market (e.g. the Codex DNA / Telesis Bio 10-Q disclosure of BioXp units reaching embargoed destinations via resellers) places even screened-by-design devices outside those controls. A US mandate directly reaches under a quarter of known manufacturers, the newest and most capable capacity is concentrating precisely where it does not, and acquisition-outside-manufacturers reaches further still. International harmonisation is therefore not an optional add-on; it is load-bearing.</w:t>
      </w:r>
    </w:p>
    <w:p>
      <w:pPr>
        <w:pStyle w:val="BodyText"/>
      </w:pPr>
      <w:r>
        <w:t xml:space="preserve">A second finding sharpens what</w:t>
      </w:r>
      <w:r>
        <w:t xml:space="preserve"> </w:t>
      </w:r>
      <w:r>
        <w:t xml:space="preserve">“</w:t>
      </w:r>
      <w:r>
        <w:t xml:space="preserve">capability</w:t>
      </w:r>
      <w:r>
        <w:t xml:space="preserve">”</w:t>
      </w:r>
      <w:r>
        <w:t xml:space="preserve"> </w:t>
      </w:r>
      <w:r>
        <w:t xml:space="preserve">means, and where it is DIY versus merely purchasable. Devices reaching 120–150 nucleotides exist in several places — DNA Script’s enzymatic SYNTAX in France (80–120 nt, up to 96 in parallel) and Kilobaser’s column instrument in Austria (~150 nt, one oligo per run) — but both are jurisdictionally reachable and</w:t>
      </w:r>
      <w:r>
        <w:t xml:space="preserve"> </w:t>
      </w:r>
      <w:r>
        <w:rPr>
          <w:b/>
        </w:rPr>
        <w:t xml:space="preserve">gated by proprietary reagent or cartridge licensing: purchasable, not reproducible in-house</w:t>
      </w:r>
      <w:r>
        <w:t xml:space="preserve"> </w:t>
      </w:r>
      <w:r>
        <w:t xml:space="preserve">(benchtop ≠ DIY; the closed consumable is itself the chokepoint). The pattern that matters is that capability is common while the</w:t>
      </w:r>
      <w:r>
        <w:t xml:space="preserve"> </w:t>
      </w:r>
      <w:r>
        <w:rPr>
          <w:i/>
        </w:rPr>
        <w:t xml:space="preserve">combination</w:t>
      </w:r>
      <w:r>
        <w:t xml:space="preserve"> </w:t>
      </w:r>
      <w:r>
        <w:t xml:space="preserve">of capability with unreachability is rare: on the current landscape a single device (LinkZill’s array-based TruSynth, in China) simultaneously offers assembly-relevant length, high throughput, and no US reach. Durable control must therefore attach to capability and jurisdiction, not to chemistry class — reinforced by the observation that the same array chemistry spans both a ~30-nt DIY device (OpenIDS) and an industrial 4,096-plex instrument.</w:t>
      </w:r>
    </w:p>
    <w:p>
      <w:pPr>
        <w:pStyle w:val="BodyText"/>
      </w:pPr>
      <w:r>
        <w:t xml:space="preserve">Set against a</w:t>
      </w:r>
      <w:r>
        <w:t xml:space="preserve"> </w:t>
      </w:r>
      <w:r>
        <w:rPr>
          <w:i/>
        </w:rPr>
        <w:t xml:space="preserve">screened</w:t>
      </w:r>
      <w:r>
        <w:t xml:space="preserve"> </w:t>
      </w:r>
      <w:r>
        <w:t xml:space="preserve">commercial-plus-benchtop perimeter, the</w:t>
      </w:r>
      <w:r>
        <w:t xml:space="preserve"> </w:t>
      </w:r>
      <w:r>
        <w:rPr>
          <w:b/>
        </w:rPr>
        <w:t xml:space="preserve">residual exposure is the DIY / in-house band</w:t>
      </w:r>
      <w:r>
        <w:t xml:space="preserve"> </w:t>
      </w:r>
      <w:r>
        <w:t xml:space="preserve">— OpenIDS-class open-source builds, the MAS 2.0 photolithographic synthesizer, and DropSynth-style assembly (which still depends on a screenable commercial oligo pool). This is the object the index is being reweighted toward, and the reason the project treats commercial systems as a baseline rather than a focus. A 2026 survey confirms the frontier is narrow: no working homebrew/garage synthesizer exists beyond these academic open-hardware platforms.</w:t>
      </w:r>
    </w:p>
    <w:p>
      <w:pPr>
        <w:pStyle w:val="BodyText"/>
      </w:pPr>
      <w:r>
        <w:t xml:space="preserve">A third finding is about opacity. Across all 34 manufacturers, adopted-screening status could not be verified from public sources. If this holds,</w:t>
      </w:r>
      <w:r>
        <w:t xml:space="preserve"> </w:t>
      </w:r>
      <w:r>
        <w:t xml:space="preserve">“</w:t>
      </w:r>
      <w:r>
        <w:t xml:space="preserve">the benchtop layer is essentially unauditable from outside</w:t>
      </w:r>
      <w:r>
        <w:t xml:space="preserve">”</w:t>
      </w:r>
      <w:r>
        <w:t xml:space="preserve"> </w:t>
      </w:r>
      <w:r>
        <w:t xml:space="preserve">is itself a reportable governance result. Relatedly, electrochemical synthesis — the chemistry the index scores as highest potential concern because of its portability and commodity materials — has</w:t>
      </w:r>
      <w:r>
        <w:t xml:space="preserve"> </w:t>
      </w:r>
      <w:r>
        <w:rPr>
          <w:b/>
        </w:rPr>
        <w:t xml:space="preserve">no independent DIY build and no commercial instance in the landscape</w:t>
      </w:r>
      <w:r>
        <w:t xml:space="preserve">, corroborating its low technology-readiness (TRL 3) and framing it as a conditional-future concern rather than a present capability.</w:t>
      </w:r>
    </w:p>
    <w:p>
      <w:pPr>
        <w:pStyle w:val="BodyText"/>
      </w:pPr>
      <w:r>
        <w:t xml:space="preserve">And the</w:t>
      </w:r>
      <w:r>
        <w:t xml:space="preserve"> </w:t>
      </w:r>
      <w:r>
        <w:rPr>
          <w:b/>
        </w:rPr>
        <w:t xml:space="preserve">attribution backstop is no longer only specified — it is demonstrated</w:t>
      </w:r>
      <w:r>
        <w:t xml:space="preserve">. Four synthesis chemistries’ error signatures have been reproduced from public sequencing deposits, with class-level attribution measured (above), turning the</w:t>
      </w:r>
      <w:r>
        <w:t xml:space="preserve"> </w:t>
      </w:r>
      <w:r>
        <w:t xml:space="preserve">“</w:t>
      </w:r>
      <w:r>
        <w:t xml:space="preserve">detect</w:t>
      </w:r>
      <w:r>
        <w:t xml:space="preserve">”</w:t>
      </w:r>
      <w:r>
        <w:t xml:space="preserve"> </w:t>
      </w:r>
      <w:r>
        <w:t xml:space="preserve">leg of the architecture from a proposal into a working capability that complements imperfect prevention.</w:t>
      </w:r>
    </w:p>
    <w:p>
      <w:pPr>
        <w:pStyle w:val="BodyText"/>
      </w:pPr>
      <w:r>
        <w:t xml:space="preserve">Finally, the attribution and screening layers connect to a live vulnerability in current tools. Recent work (Wittmann et al.,</w:t>
      </w:r>
      <w:r>
        <w:t xml:space="preserve"> </w:t>
      </w:r>
      <w:r>
        <w:rPr>
          <w:i/>
        </w:rPr>
        <w:t xml:space="preserve">Science</w:t>
      </w:r>
      <w:r>
        <w:t xml:space="preserve">, 2025 — the</w:t>
      </w:r>
      <w:r>
        <w:t xml:space="preserve"> </w:t>
      </w:r>
      <w:r>
        <w:t xml:space="preserve">“</w:t>
      </w:r>
      <w:r>
        <w:t xml:space="preserve">Paraphrase Project</w:t>
      </w:r>
      <w:r>
        <w:t xml:space="preserve">”</w:t>
      </w:r>
      <w:r>
        <w:t xml:space="preserve">) showed that similarity-based screening can be evaded by AI-designed protein variants that retain predicted function while diverging in sequence; after coordinated patching, on average roughly</w:t>
      </w:r>
      <w:r>
        <w:t xml:space="preserve"> </w:t>
      </w:r>
      <w:r>
        <w:rPr>
          <w:b/>
        </w:rPr>
        <w:t xml:space="preserve">3% of the more-probably-functional variants still escaped detection</w:t>
      </w:r>
      <w:r>
        <w:t xml:space="preserve"> </w:t>
      </w:r>
      <w:r>
        <w:t xml:space="preserve">(a ~97% flag rate for that function-retaining subset). This is precisely the gap the October 2026 functional sequence-of-concern provision is meant to close, and it is why the project treats functional detection, not sequence similarity alone, as the frontier problem.</w:t>
      </w:r>
    </w:p>
    <w:p>
      <w:pPr>
        <w:pStyle w:val="Heading2"/>
      </w:pPr>
      <w:bookmarkStart w:id="28" w:name="scope-and-why-the-boundary-is-principled"/>
      <w:r>
        <w:t xml:space="preserve">Scope, and why the boundary is principled</w:t>
      </w:r>
      <w:bookmarkEnd w:id="28"/>
    </w:p>
    <w:p>
      <w:pPr>
        <w:pStyle w:val="FirstParagraph"/>
      </w:pPr>
      <w:r>
        <w:t xml:space="preserve">The analysis is limited to the</w:t>
      </w:r>
      <w:r>
        <w:t xml:space="preserve"> </w:t>
      </w:r>
      <w:r>
        <w:rPr>
          <w:b/>
        </w:rPr>
        <w:t xml:space="preserve">synthesis step</w:t>
      </w:r>
      <w:r>
        <w:t xml:space="preserve">. Assembly of short oligos into genes, pathogen rescue, and deployment are explicitly out of scope (OOS) — not for convenience, but because the binding constraint sits downstream of synthesis. Assembling short oligos into genes is standard, decades-old methodology (and is even demonstrated from 16–30-mers), but converting low-fidelity DIY oligos into a correct, functional gene depends on a fidelity-gated error-correction, clonal-selection, and verification pipeline, and reliable assembly beyond roughly 7,000–10,000 base pairs requires bacterial and yeast host systems plus virus-specific expertise. This is the same barrier NTI’s 2023 assessment of benchtop devices identifies from independent expert consensus. Scoping to synthesis characterises the genuinely governable chokepoint. Method-level detectability and supply-chain scoring are held pending IBBIS infohazard review.</w:t>
      </w:r>
    </w:p>
    <w:p>
      <w:pPr>
        <w:pStyle w:val="Heading2"/>
      </w:pPr>
      <w:bookmarkStart w:id="29" w:name="deliverables"/>
      <w:r>
        <w:t xml:space="preserve">Deliverables</w:t>
      </w:r>
      <w:bookmarkEnd w:id="29"/>
    </w:p>
    <w:p>
      <w:pPr>
        <w:pStyle w:val="FirstParagraph"/>
      </w:pPr>
      <w:r>
        <w:t xml:space="preserve">A technical report (~5,000 words) presenting the regime-conditional index, the accessibility-and-reach analysis, the control-robustness assessment, and the attribution specification and reproduction results, with full confidence bounds and sensitivity results; a policy brief (~2,000 words) with stakeholder-specific recommendations for 2026–2030 governance; open annexes containing the index workbook and the accessibility scoring sheet; and two to three expert reviews confirming analytical validity.</w:t>
      </w:r>
    </w:p>
    <w:p>
      <w:pPr>
        <w:pStyle w:val="Heading2"/>
      </w:pPr>
      <w:bookmarkStart w:id="30" w:name="why-it-matters"/>
      <w:r>
        <w:t xml:space="preserve">Why it matters</w:t>
      </w:r>
      <w:bookmarkEnd w:id="30"/>
    </w:p>
    <w:p>
      <w:pPr>
        <w:pStyle w:val="FirstParagraph"/>
      </w:pPr>
      <w:r>
        <w:t xml:space="preserve">The contribution is to move the synthesis-screening conversation from threat-ranking — which sequences or devices are most dangerous — toward</w:t>
      </w:r>
      <w:r>
        <w:t xml:space="preserve"> </w:t>
      </w:r>
      <w:r>
        <w:rPr>
          <w:b/>
        </w:rPr>
        <w:t xml:space="preserve">governance-architecture design</w:t>
      </w:r>
      <w:r>
        <w:t xml:space="preserve">: which controls remain robust, which are fragile, and where policy should invest so that a mandatory, on-device regime is actually effective, and actually reaches far enough, through 2030. The honest assessment is that screening is being proactively strengthened because policymakers concluded device-level integration and mandatory requirements are necessary for long-term resilience. This project’s job is to help that strategy succeed — by identifying which levers hold, what forensic capability is needed as a backstop for the devices and residual DIY routes those levers cannot reach (now demonstrated, not just proposed), and where the jurisdictional, legacy, and DIY gaps will otherwise undermine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2026-07-23T11:35:56Z</dcterms:created>
  <dcterms:modified xsi:type="dcterms:W3CDTF">2026-07-23T11:35:56Z</dcterms:modified>
</cp:coreProperties>
</file>

<file path=docProps/custom.xml><?xml version="1.0" encoding="utf-8"?>
<Properties xmlns="http://schemas.openxmlformats.org/officeDocument/2006/custom-properties" xmlns:vt="http://schemas.openxmlformats.org/officeDocument/2006/docPropsVTypes"/>
</file>