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62848548e557452d83e8c03db36eff2fc3f484"/>
      <w:r>
        <w:t xml:space="preserve">DNA Synthesis Screening Under Device Proliferation</w:t>
      </w:r>
      <w:bookmarkEnd w:id="20"/>
    </w:p>
    <w:p>
      <w:pPr>
        <w:pStyle w:val="Heading3"/>
      </w:pPr>
      <w:bookmarkStart w:id="21" w:name="Xee6c652d7af1ca6578a37688524e5bf1b2388a0"/>
      <w:r>
        <w:t xml:space="preserve">A Regime-Conditional Analysis of Governance Architecture for 2026–2030</w:t>
      </w:r>
      <w:bookmarkEnd w:id="21"/>
    </w:p>
    <w:p>
      <w:pPr>
        <w:pStyle w:val="Heading2"/>
      </w:pPr>
      <w:bookmarkStart w:id="22" w:name="summary-in-one-paragraph"/>
      <w:r>
        <w:t xml:space="preserve">Summary in one paragraph</w:t>
      </w:r>
      <w:bookmarkEnd w:id="22"/>
    </w:p>
    <w:p>
      <w:pPr>
        <w:pStyle w:val="FirstParagraph"/>
      </w:pPr>
      <w:r>
        <w:t xml:space="preserve">Screening is being strengthened, not quietly defeated. It is becoming mandatory and moving onto the synthesis device itself — at the same moment that do-it-yourself and benchtop synthesis capability is proliferating and, increasingly, concentrating in jurisdictions a United States mandate cannot reach. This fellowship characterises the resulting control architecture as a function of the policy regime, asking not</w:t>
      </w:r>
      <w:r>
        <w:t xml:space="preserve"> </w:t>
      </w:r>
      <w:r>
        <w:t xml:space="preserve">“</w:t>
      </w:r>
      <w:r>
        <w:t xml:space="preserve">how do we stop screening from failing?</w:t>
      </w:r>
      <w:r>
        <w:t xml:space="preserve">”</w:t>
      </w:r>
      <w:r>
        <w:t xml:space="preserve"> </w:t>
      </w:r>
      <w:r>
        <w:t xml:space="preserve">but</w:t>
      </w:r>
      <w:r>
        <w:t xml:space="preserve"> </w:t>
      </w:r>
      <w:r>
        <w:t xml:space="preserve">“</w:t>
      </w:r>
      <w:r>
        <w:t xml:space="preserve">as screening becomes mandatory and on-device while devices proliferate, where does control remain robust, where does it erode, and where must policy shift to keep pace through 2030?</w:t>
      </w:r>
      <w:r>
        <w:t xml:space="preserve">”</w:t>
      </w:r>
      <w:r>
        <w:t xml:space="preserve"> </w:t>
      </w:r>
      <w:r>
        <w:t xml:space="preserve">The work produces a regime-conditional readiness index across synthesis chemistries — weighted toward DIY and accessible in-house methods — an assessment of how synthesis capability is reachable</w:t>
      </w:r>
      <w:r>
        <w:t xml:space="preserve"> </w:t>
      </w:r>
      <w:r>
        <w:rPr>
          <w:i/>
        </w:rPr>
        <w:t xml:space="preserve">outside</w:t>
      </w:r>
      <w:r>
        <w:t xml:space="preserve"> </w:t>
      </w:r>
      <w:r>
        <w:t xml:space="preserve">screened manufacturers (jurisdictional reach, legacy installed base, and secondhand channels), a specification for post-hoc synthesis-route attribution now backed by reproduction of four chemistries’ error signatures from deposited sequencing data, and stakeholder-specific policy recommendations.</w:t>
      </w:r>
    </w:p>
    <w:p>
      <w:pPr>
        <w:pStyle w:val="Heading2"/>
      </w:pPr>
      <w:bookmarkStart w:id="23" w:name="why-now"/>
      <w:r>
        <w:t xml:space="preserve">Why now</w:t>
      </w:r>
      <w:bookmarkEnd w:id="23"/>
    </w:p>
    <w:p>
      <w:pPr>
        <w:pStyle w:val="FirstParagraph"/>
      </w:pPr>
      <w:r>
        <w:t xml:space="preserve">Three United States policy instruments define the moment. The White House Office of Science and Technology Policy released its</w:t>
      </w:r>
      <w:r>
        <w:t xml:space="preserve"> </w:t>
      </w:r>
      <w:r>
        <w:rPr>
          <w:i/>
        </w:rPr>
        <w:t xml:space="preserve">Framework for Nucleic Acid Synthesis Screening</w:t>
      </w:r>
      <w:r>
        <w:t xml:space="preserve"> </w:t>
      </w:r>
      <w:r>
        <w:t xml:space="preserve">on 29 April 2024. Its first stage took effect on 26 April 2025, requiring screening of synthetic sequences of 200 nucleotides or longer as a condition of federal research funding. A second stage, scheduled for 13 October 2026, would tighten the screening window to 50 nucleotides and add a functional</w:t>
      </w:r>
      <w:r>
        <w:t xml:space="preserve"> </w:t>
      </w:r>
      <w:r>
        <w:t xml:space="preserve">“</w:t>
      </w:r>
      <w:r>
        <w:t xml:space="preserve">sequence of concern</w:t>
      </w:r>
      <w:r>
        <w:t xml:space="preserve">”</w:t>
      </w:r>
      <w:r>
        <w:t xml:space="preserve"> </w:t>
      </w:r>
      <w:r>
        <w:t xml:space="preserve">definition that captures sequences contributing to pathogenicity or toxicity even when they are not drawn from a listed agent. In May 2025, Executive Order 14292 directed OSTP to revise or replace the 2024 Framework within ninety days; as of late 2026 that replacement remains unpublished, so whether the October 2026 milestone survives on schedule is genuinely uncertain. Running alongside the Framework is a distinct statutory vehicle: Senate bill S. 3741, the</w:t>
      </w:r>
      <w:r>
        <w:t xml:space="preserve"> </w:t>
      </w:r>
      <w:r>
        <w:rPr>
          <w:i/>
        </w:rPr>
        <w:t xml:space="preserve">Biosecurity Modernization and Innovation Act of 2026</w:t>
      </w:r>
      <w:r>
        <w:t xml:space="preserve">, introduced on 29 January 2026 by Senators Cotton and Klobuchar and referred to the Commerce Committee. The Framework is OSTP/HHS-led and funding-conditional; S. 3741 is Commerce-led and would make screening a statutory requirement. Neither alone constitutes the fully</w:t>
      </w:r>
      <w:r>
        <w:t xml:space="preserve"> </w:t>
      </w:r>
      <w:r>
        <w:t xml:space="preserve">“</w:t>
      </w:r>
      <w:r>
        <w:t xml:space="preserve">mandatory and on-device</w:t>
      </w:r>
      <w:r>
        <w:t xml:space="preserve">”</w:t>
      </w:r>
      <w:r>
        <w:t xml:space="preserve"> </w:t>
      </w:r>
      <w:r>
        <w:t xml:space="preserve">regime this project models — that is a forward projection, conditional on both the Framework revision being issued as expected and S. 3741 (or an equivalent) being enacted.</w:t>
      </w:r>
    </w:p>
    <w:p>
      <w:pPr>
        <w:pStyle w:val="BodyText"/>
      </w:pPr>
      <w:r>
        <w:t xml:space="preserve">Two regimes anchor the whole analysis.</w:t>
      </w:r>
      <w:r>
        <w:t xml:space="preserve"> </w:t>
      </w:r>
      <w:r>
        <w:rPr>
          <w:b/>
        </w:rPr>
        <w:t xml:space="preserve">R0 is the status quo as of October 2026</w:t>
      </w:r>
      <w:r>
        <w:t xml:space="preserve"> </w:t>
      </w:r>
      <w:r>
        <w:t xml:space="preserve">— the near-present, and the reason R1 is close: the Framework revision is pending, the International Gene Synthesis Consortium’s harmonised protocol is voluntary, and there is no on-device screening mandate.</w:t>
      </w:r>
      <w:r>
        <w:t xml:space="preserve"> </w:t>
      </w:r>
      <w:r>
        <w:rPr>
          <w:b/>
        </w:rPr>
        <w:t xml:space="preserve">R1 is the projected regime</w:t>
      </w:r>
      <w:r>
        <w:t xml:space="preserve"> </w:t>
      </w:r>
      <w:r>
        <w:t xml:space="preserve">in which mandatory synthesis screening</w:t>
      </w:r>
      <w:r>
        <w:t xml:space="preserve"> </w:t>
      </w:r>
      <w:r>
        <w:rPr>
          <w:i/>
        </w:rPr>
        <w:t xml:space="preserve">and</w:t>
      </w:r>
      <w:r>
        <w:t xml:space="preserve"> </w:t>
      </w:r>
      <w:r>
        <w:t xml:space="preserve">on-device benchtop screening are in force for commercial providers and manufacturers, with a 50-nucleotide detection window and functional sequence-of-concern detection. Every dimension is scored under both — but the analytically interesting object is not whether screening works. It is the</w:t>
      </w:r>
      <w:r>
        <w:t xml:space="preserve"> </w:t>
      </w:r>
      <w:r>
        <w:rPr>
          <w:b/>
        </w:rPr>
        <w:t xml:space="preserve">residual DIY gap</w:t>
      </w:r>
      <w:r>
        <w:t xml:space="preserve">: the synthesis capability that remains outside the perimeter once commercial and benchtop synthesis are screened. That gap — DIY and in-house protocols reached by neither a provider mandate nor a device mandate — is what the R0→R1 change exposes, and it is what the project is built to characterise.</w:t>
      </w:r>
    </w:p>
    <w:p>
      <w:pPr>
        <w:pStyle w:val="Heading2"/>
      </w:pPr>
      <w:bookmarkStart w:id="24" w:name="the-four-workstreams"/>
      <w:r>
        <w:t xml:space="preserve">The four workstreams</w:t>
      </w:r>
      <w:bookmarkEnd w:id="24"/>
    </w:p>
    <w:p>
      <w:pPr>
        <w:pStyle w:val="FirstParagraph"/>
      </w:pPr>
      <w:r>
        <w:rPr>
          <w:b/>
        </w:rPr>
        <w:t xml:space="preserve">1. A regime-conditional Technology Readiness Index, weighted toward DIY.</w:t>
      </w:r>
      <w:r>
        <w:t xml:space="preserve"> </w:t>
      </w:r>
      <w:r>
        <w:t xml:space="preserve">Each DIY and benchtop synthesis chemistry — phosphoramidite column, array-based (photolithographic and electrochemical), enzymatic, and droplet-based assembly — is inventoried and scored across risk-relevant dimensions, with detectability and supply-chain vulnerability scored as regime pairs (R0 versus R1). Technology Readiness Level (TRL 1–9) here ranks how close a route is to a</w:t>
      </w:r>
      <w:r>
        <w:t xml:space="preserve"> </w:t>
      </w:r>
      <w:r>
        <w:rPr>
          <w:i/>
        </w:rPr>
        <w:t xml:space="preserve">working, assembly-ready capability a non-expert could stand up</w:t>
      </w:r>
      <w:r>
        <w:t xml:space="preserve">, not its scientific novelty; the analytical weight sits in the</w:t>
      </w:r>
      <w:r>
        <w:t xml:space="preserve"> </w:t>
      </w:r>
      <w:r>
        <w:rPr>
          <w:b/>
        </w:rPr>
        <w:t xml:space="preserve">TRL 3–6 band</w:t>
      </w:r>
      <w:r>
        <w:t xml:space="preserve">, where capability meets reproducibility outside a major provider, while high-TRL commercial systems (7–9) are scored only as a baseline reached by purchase, not reproduction. Two methodological choices give the index its discipline. First, capability is scored by</w:t>
      </w:r>
      <w:r>
        <w:t xml:space="preserve"> </w:t>
      </w:r>
      <w:r>
        <w:rPr>
          <w:b/>
        </w:rPr>
        <w:t xml:space="preserve">usable length at high fidelity</w:t>
      </w:r>
      <w:r>
        <w:t xml:space="preserve"> </w:t>
      </w:r>
      <w:r>
        <w:t xml:space="preserve">rather than advertised maximum length, because the gap is large and consequential: at 98% per-step coupling efficiency a 30-mer emerges full-length only about 55% of the time, and the open-source OpenIDS platform delivers roughly 55–56% full-length product for a short oligo — well below the greater-than-90%-full-length quality that gene assembly needs. Second, every input carries lower/best/upper bounds and a HIGH/MEDIUM/LOW confidence tag, and conclusions are subjected to a worst-case survival test: do the qualitative findings still hold if every uncertain input sits at its worst bound? The deliverable is an interactive workbook showing R0 and R1 detectability side by side, with a sensitivity analysis identifying which inputs actually drive rank changes.</w:t>
      </w:r>
    </w:p>
    <w:p>
      <w:pPr>
        <w:pStyle w:val="BodyText"/>
      </w:pPr>
      <w:r>
        <w:rPr>
          <w:b/>
        </w:rPr>
        <w:t xml:space="preserve">2. Accessibility and reach of synthesis capability.</w:t>
      </w:r>
      <w:r>
        <w:t xml:space="preserve"> </w:t>
      </w:r>
      <w:r>
        <w:t xml:space="preserve">Rather than re-inventory the commercial benchtop manufacturers — already mapped within the ERA/IBBIS working group — this workstream asks how</w:t>
      </w:r>
      <w:r>
        <w:t xml:space="preserve"> </w:t>
      </w:r>
      <w:r>
        <w:rPr>
          <w:i/>
        </w:rPr>
        <w:t xml:space="preserve">reachable</w:t>
      </w:r>
      <w:r>
        <w:t xml:space="preserve"> </w:t>
      </w:r>
      <w:r>
        <w:t xml:space="preserve">synthesis capability actually is, which is the governance question a census does not answer. It has three parts: (a) the</w:t>
      </w:r>
      <w:r>
        <w:t xml:space="preserve"> </w:t>
      </w:r>
      <w:r>
        <w:rPr>
          <w:b/>
        </w:rPr>
        <w:t xml:space="preserve">jurisdictional reach</w:t>
      </w:r>
      <w:r>
        <w:t xml:space="preserve"> </w:t>
      </w:r>
      <w:r>
        <w:t xml:space="preserve">of a US mandate across the known manufacturer base; (b) the</w:t>
      </w:r>
      <w:r>
        <w:t xml:space="preserve"> </w:t>
      </w:r>
      <w:r>
        <w:rPr>
          <w:b/>
        </w:rPr>
        <w:t xml:space="preserve">legacy installed base and secondhand/used-equipment channels</w:t>
      </w:r>
      <w:r>
        <w:t xml:space="preserve"> </w:t>
      </w:r>
      <w:r>
        <w:t xml:space="preserve">that place even screened-by-design devices into unscreened hands, outside know-your-customer controls; and (c)</w:t>
      </w:r>
      <w:r>
        <w:t xml:space="preserve"> </w:t>
      </w:r>
      <w:r>
        <w:rPr>
          <w:b/>
        </w:rPr>
        <w:t xml:space="preserve">DIY and accessible in-house protocols from the literature</w:t>
      </w:r>
      <w:r>
        <w:t xml:space="preserve"> </w:t>
      </w:r>
      <w:r>
        <w:t xml:space="preserve">— the frontier no manufacturer inventory captures, and where the residual gap under R1 actually lives. The manufacturer inventory is used as a substrate and credited to the IBBIS group; the scoring layer — per-route accessibility and residual-gap exposure under R1 — is the contribution. Per-device security-posture assessment is held pending IBBIS infohazard review.</w:t>
      </w:r>
    </w:p>
    <w:p>
      <w:pPr>
        <w:pStyle w:val="BodyText"/>
      </w:pPr>
      <w:r>
        <w:rPr>
          <w:b/>
        </w:rPr>
        <w:t xml:space="preserve">3. A synthesis-route attribution framework — now measured, not only specified.</w:t>
      </w:r>
      <w:r>
        <w:t xml:space="preserve"> </w:t>
      </w:r>
      <w:r>
        <w:t xml:space="preserve">Because prevention is imperfect by design, the project specifies a post-hoc capability: can the synthesis route be inferred from characteristic error signatures in a product’s sequence, using sequencing reads alone and without any cooperation from the device? The scope is stated honestly — this is</w:t>
      </w:r>
      <w:r>
        <w:t xml:space="preserve"> </w:t>
      </w:r>
      <w:r>
        <w:rPr>
          <w:b/>
        </w:rPr>
        <w:t xml:space="preserve">class-level</w:t>
      </w:r>
      <w:r>
        <w:t xml:space="preserve"> </w:t>
      </w:r>
      <w:r>
        <w:t xml:space="preserve">attribution (</w:t>
      </w:r>
      <w:r>
        <w:t xml:space="preserve">“</w:t>
      </w:r>
      <w:r>
        <w:t xml:space="preserve">this came off an array-based process</w:t>
      </w:r>
      <w:r>
        <w:t xml:space="preserve">”</w:t>
      </w:r>
      <w:r>
        <w:t xml:space="preserve">), not device-level (</w:t>
      </w:r>
      <w:r>
        <w:t xml:space="preserve">“</w:t>
      </w:r>
      <w:r>
        <w:t xml:space="preserve">this serial number</w:t>
      </w:r>
      <w:r>
        <w:t xml:space="preserve">”</w:t>
      </w:r>
      <w:r>
        <w:t xml:space="preserve">). Since the specification was drafted, the framework has been taken from proposal to proof: the error signatures of</w:t>
      </w:r>
      <w:r>
        <w:t xml:space="preserve"> </w:t>
      </w:r>
      <w:r>
        <w:rPr>
          <w:b/>
        </w:rPr>
        <w:t xml:space="preserve">four synthesis chemistries</w:t>
      </w:r>
      <w:r>
        <w:t xml:space="preserve"> </w:t>
      </w:r>
      <w:r>
        <w:t xml:space="preserve">have been independently reproduced from deposited sequencing data — column phosphoramidite (capping-driven G→A), manufacturer/batch profiles, photolithographic (G→T), and electrochemical (high-deletion with a 5′ gradient) — and class-level attribution</w:t>
      </w:r>
      <w:r>
        <w:t xml:space="preserve"> </w:t>
      </w:r>
      <w:r>
        <w:rPr>
          <w:i/>
        </w:rPr>
        <w:t xml:space="preserve">measured</w:t>
      </w:r>
      <w:r>
        <w:t xml:space="preserve"> </w:t>
      </w:r>
      <w:r>
        <w:t xml:space="preserve">(capping chemistry separated at 100% leave-run-out; four-vendor manufacturer attribution at 75%, permutation p&lt;0.001). Its investigative value scales inversely with how many devices share a signature, which is unevenly distributed: array-based synthesis is a small handful of firms globally, whereas phosphoramidite column chemistry spans dozens of vendors plus thirty years of installed base, so attribution to that class narrows an investigation little. Following the genetic-engineering-attribution literature (Alley et al., 2020; Crook et al., 2022),</w:t>
      </w:r>
      <w:r>
        <w:t xml:space="preserve"> </w:t>
      </w:r>
      <w:r>
        <w:rPr>
          <w:b/>
        </w:rPr>
        <w:t xml:space="preserve">exclusion is treated as the primary value</w:t>
      </w:r>
      <w:r>
        <w:t xml:space="preserve"> </w:t>
      </w:r>
      <w:r>
        <w:t xml:space="preserve">— ruling out a commercial-provider origin redirects an investigation from subpoenaing order records toward searching for equipment, a meaningful fork even without naming an actor.</w:t>
      </w:r>
    </w:p>
    <w:p>
      <w:pPr>
        <w:pStyle w:val="BodyText"/>
      </w:pPr>
      <w:r>
        <w:rPr>
          <w:b/>
        </w:rPr>
        <w:t xml:space="preserve">4. Policy recommendations.</w:t>
      </w:r>
      <w:r>
        <w:t xml:space="preserve"> </w:t>
      </w:r>
      <w:r>
        <w:t xml:space="preserve">The findings are translated into recommendations for regulators (OSTP, HHS/ASPR, IGSC), manufacturers, researchers, and funders, each with investment priorities and timelines, covering the 2026–2030 window.</w:t>
      </w:r>
    </w:p>
    <w:p>
      <w:pPr>
        <w:pStyle w:val="Heading3"/>
      </w:pPr>
      <w:bookmarkStart w:id="25" w:name="diy-accessible-synthesis-at-a-glance"/>
      <w:r>
        <w:t xml:space="preserve">DIY / accessible synthesis at a glance</w:t>
      </w:r>
      <w:bookmarkEnd w:id="2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TRL</w:t>
            </w:r>
          </w:p>
        </w:tc>
        <w:tc>
          <w:tcPr>
            <w:tcBorders>
              <w:bottom w:val="single"/>
            </w:tcBorders>
            <w:vAlign w:val="bottom"/>
          </w:tcPr>
          <w:p>
            <w:pPr>
              <w:pStyle w:val="Compact"/>
              <w:jc w:val="left"/>
            </w:pPr>
            <w:r>
              <w:t xml:space="preserve">Capital</w:t>
            </w:r>
          </w:p>
        </w:tc>
        <w:tc>
          <w:tcPr>
            <w:tcBorders>
              <w:bottom w:val="single"/>
            </w:tcBorders>
            <w:vAlign w:val="bottom"/>
          </w:tcPr>
          <w:p>
            <w:pPr>
              <w:pStyle w:val="Compact"/>
              <w:jc w:val="left"/>
            </w:pPr>
            <w:r>
              <w:t xml:space="preserve">Usable length @ high fidelity</w:t>
            </w:r>
          </w:p>
        </w:tc>
        <w:tc>
          <w:tcPr>
            <w:tcBorders>
              <w:bottom w:val="single"/>
            </w:tcBorders>
            <w:vAlign w:val="bottom"/>
          </w:tcPr>
          <w:p>
            <w:pPr>
              <w:pStyle w:val="Compact"/>
              <w:jc w:val="left"/>
            </w:pPr>
            <w:r>
              <w:t xml:space="preserve">Accessibility (is it DIY?)</w:t>
            </w:r>
          </w:p>
        </w:tc>
      </w:tr>
      <w:tr>
        <w:tc>
          <w:p>
            <w:pPr>
              <w:pStyle w:val="Compact"/>
              <w:jc w:val="left"/>
            </w:pPr>
            <w:r>
              <w:rPr>
                <w:b/>
              </w:rPr>
              <w:t xml:space="preserve">OpenIDS</w:t>
            </w:r>
            <w:r>
              <w:t xml:space="preserve"> </w:t>
            </w:r>
            <w:r>
              <w:t xml:space="preserve">(inkjet, open-source)</w:t>
            </w:r>
          </w:p>
        </w:tc>
        <w:tc>
          <w:p>
            <w:pPr>
              <w:pStyle w:val="Compact"/>
              <w:jc w:val="left"/>
            </w:pPr>
            <w:r>
              <w:t xml:space="preserve">5</w:t>
            </w:r>
          </w:p>
        </w:tc>
        <w:tc>
          <w:p>
            <w:pPr>
              <w:pStyle w:val="Compact"/>
              <w:jc w:val="left"/>
            </w:pPr>
            <w:r>
              <w:t xml:space="preserve">~$20K</w:t>
            </w:r>
          </w:p>
        </w:tc>
        <w:tc>
          <w:p>
            <w:pPr>
              <w:pStyle w:val="Compact"/>
              <w:jc w:val="left"/>
            </w:pPr>
            <w:r>
              <w:t xml:space="preserve">~20–30 nt (~55% full-length at 30-mer)</w:t>
            </w:r>
          </w:p>
        </w:tc>
        <w:tc>
          <w:p>
            <w:pPr>
              <w:pStyle w:val="Compact"/>
              <w:jc w:val="left"/>
            </w:pPr>
            <w:r>
              <w:rPr>
                <w:b/>
              </w:rPr>
              <w:t xml:space="preserve">DIY</w:t>
            </w:r>
            <w:r>
              <w:t xml:space="preserve"> </w:t>
            </w:r>
            <w:r>
              <w:t xml:space="preserve">— published, reproducible open-source build</w:t>
            </w:r>
          </w:p>
        </w:tc>
      </w:tr>
      <w:tr>
        <w:tc>
          <w:p>
            <w:pPr>
              <w:pStyle w:val="Compact"/>
              <w:jc w:val="left"/>
            </w:pPr>
            <w:r>
              <w:rPr>
                <w:b/>
              </w:rPr>
              <w:t xml:space="preserve">Electrochemical</w:t>
            </w:r>
            <w:r>
              <w:t xml:space="preserve"> </w:t>
            </w:r>
            <w:r>
              <w:t xml:space="preserve">(array)</w:t>
            </w:r>
          </w:p>
        </w:tc>
        <w:tc>
          <w:p>
            <w:pPr>
              <w:pStyle w:val="Compact"/>
              <w:jc w:val="left"/>
            </w:pPr>
            <w:r>
              <w:t xml:space="preserve">3</w:t>
            </w:r>
          </w:p>
        </w:tc>
        <w:tc>
          <w:p>
            <w:pPr>
              <w:pStyle w:val="Compact"/>
              <w:jc w:val="left"/>
            </w:pPr>
            <w:r>
              <w:t xml:space="preserve">~$12K (est)</w:t>
            </w:r>
          </w:p>
        </w:tc>
        <w:tc>
          <w:p>
            <w:pPr>
              <w:pStyle w:val="Compact"/>
              <w:jc w:val="left"/>
            </w:pPr>
            <w:r>
              <w:t xml:space="preserve">~100 nt (unvalidated)</w:t>
            </w:r>
          </w:p>
        </w:tc>
        <w:tc>
          <w:p>
            <w:pPr>
              <w:pStyle w:val="Compact"/>
              <w:jc w:val="left"/>
            </w:pPr>
            <w:r>
              <w:t xml:space="preserve">Conditional-future — no DIY/commercial build yet</w:t>
            </w:r>
          </w:p>
        </w:tc>
      </w:tr>
      <w:tr>
        <w:tc>
          <w:p>
            <w:pPr>
              <w:pStyle w:val="Compact"/>
              <w:jc w:val="left"/>
            </w:pPr>
            <w:r>
              <w:rPr>
                <w:b/>
              </w:rPr>
              <w:t xml:space="preserve">DropSynth</w:t>
            </w:r>
            <w:r>
              <w:t xml:space="preserve"> </w:t>
            </w:r>
            <w:r>
              <w:t xml:space="preserve">(droplet assembly)</w:t>
            </w:r>
          </w:p>
        </w:tc>
        <w:tc>
          <w:p>
            <w:pPr>
              <w:pStyle w:val="Compact"/>
              <w:jc w:val="left"/>
            </w:pPr>
            <w:r>
              <w:t xml:space="preserve">4</w:t>
            </w:r>
          </w:p>
        </w:tc>
        <w:tc>
          <w:p>
            <w:pPr>
              <w:pStyle w:val="Compact"/>
              <w:jc w:val="left"/>
            </w:pPr>
            <w:r>
              <w:t xml:space="preserve">~$75K (est)</w:t>
            </w:r>
          </w:p>
        </w:tc>
        <w:tc>
          <w:p>
            <w:pPr>
              <w:pStyle w:val="Compact"/>
              <w:jc w:val="left"/>
            </w:pPr>
            <w:r>
              <w:t xml:space="preserve">gene-length via assembly</w:t>
            </w:r>
          </w:p>
        </w:tc>
        <w:tc>
          <w:p>
            <w:pPr>
              <w:pStyle w:val="Compact"/>
              <w:jc w:val="left"/>
            </w:pPr>
            <w:r>
              <w:t xml:space="preserve">Lab-only — needs microfluidic fabrication access</w:t>
            </w:r>
          </w:p>
        </w:tc>
      </w:tr>
      <w:tr>
        <w:tc>
          <w:p>
            <w:pPr>
              <w:pStyle w:val="Compact"/>
              <w:jc w:val="left"/>
            </w:pPr>
            <w:r>
              <w:rPr>
                <w:b/>
              </w:rPr>
              <w:t xml:space="preserve">Enzymatic benchtop</w:t>
            </w:r>
            <w:r>
              <w:t xml:space="preserve"> </w:t>
            </w:r>
            <w:r>
              <w:t xml:space="preserve">(e.g. SYNTAX)</w:t>
            </w:r>
          </w:p>
        </w:tc>
        <w:tc>
          <w:p>
            <w:pPr>
              <w:pStyle w:val="Compact"/>
              <w:jc w:val="left"/>
            </w:pPr>
            <w:r>
              <w:t xml:space="preserve">6</w:t>
            </w:r>
          </w:p>
        </w:tc>
        <w:tc>
          <w:p>
            <w:pPr>
              <w:pStyle w:val="Compact"/>
              <w:jc w:val="left"/>
            </w:pPr>
            <w:r>
              <w:t xml:space="preserve">~$100K</w:t>
            </w:r>
          </w:p>
        </w:tc>
        <w:tc>
          <w:p>
            <w:pPr>
              <w:pStyle w:val="Compact"/>
              <w:jc w:val="left"/>
            </w:pPr>
            <w:r>
              <w:t xml:space="preserve">80–120 nt</w:t>
            </w:r>
          </w:p>
        </w:tc>
        <w:tc>
          <w:p>
            <w:pPr>
              <w:pStyle w:val="Compact"/>
              <w:jc w:val="left"/>
            </w:pPr>
            <w:r>
              <w:rPr>
                <w:b/>
              </w:rPr>
              <w:t xml:space="preserve">Buy, not build</w:t>
            </w:r>
            <w:r>
              <w:t xml:space="preserve"> </w:t>
            </w:r>
            <w:r>
              <w:t xml:space="preserve">— closed reagent-cartridge chokepoint</w:t>
            </w:r>
          </w:p>
        </w:tc>
      </w:tr>
    </w:tbl>
    <w:p>
      <w:pPr>
        <w:pStyle w:val="BodyText"/>
      </w:pPr>
      <w:r>
        <w:rPr>
          <w:i/>
        </w:rPr>
        <w:t xml:space="preserve">Commercial benchtop (TRL 7–9) and the enzymatic service model are excluded here — they are the screenable baseline, not DIY routes. OOS = out of scope;</w:t>
      </w:r>
      <w:r>
        <w:rPr>
          <w:i/>
        </w:rPr>
        <w:t xml:space="preserve"> </w:t>
      </w:r>
      <w:r>
        <w:rPr>
          <w:i/>
        </w:rPr>
        <w:t xml:space="preserve">“</w:t>
      </w:r>
      <w:r>
        <w:rPr>
          <w:i/>
        </w:rPr>
        <w:t xml:space="preserve">usable length @ high fidelity</w:t>
      </w:r>
      <w:r>
        <w:rPr>
          <w:i/>
        </w:rPr>
        <w:t xml:space="preserve">”</w:t>
      </w:r>
      <w:r>
        <w:rPr>
          <w:i/>
        </w:rPr>
        <w:t xml:space="preserve"> </w:t>
      </w:r>
      <w:r>
        <w:rPr>
          <w:i/>
        </w:rPr>
        <w:t xml:space="preserve">is scored on full-length product, not advertised maximum.</w:t>
      </w:r>
    </w:p>
    <w:p>
      <w:pPr>
        <w:pStyle w:val="Heading2"/>
      </w:pPr>
      <w:bookmarkStart w:id="26" w:name="what-the-preliminary-work-already-shows"/>
      <w:r>
        <w:t xml:space="preserve">What the preliminary work already shows</w:t>
      </w:r>
      <w:bookmarkEnd w:id="26"/>
    </w:p>
    <w:p>
      <w:pPr>
        <w:pStyle w:val="FirstParagraph"/>
      </w:pPr>
      <w:r>
        <w:t xml:space="preserve">The single most consequential early finding is about</w:t>
      </w:r>
      <w:r>
        <w:t xml:space="preserve"> </w:t>
      </w:r>
      <w:r>
        <w:rPr>
          <w:b/>
        </w:rPr>
        <w:t xml:space="preserve">reach, not manufacturing</w:t>
      </w:r>
      <w:r>
        <w:t xml:space="preserve">. Of the 34 benchtop manufacturers inventoried within the ERA/IBBIS group, only 8 are US-headquartered and therefore directly bound by a US mandate; 12 sit in allied jurisdictions reachable through harmonisation or diplomacy rather than US rule alone; and 14 sit outside both. More tellingly, the frontier is drifting away from reach: 5 of the 9 firms founded since 2019 are outside US jurisdiction, including the array-based class with the highest throughput. And reach erodes further once</w:t>
      </w:r>
      <w:r>
        <w:t xml:space="preserve"> </w:t>
      </w:r>
      <w:r>
        <w:rPr>
          <w:i/>
        </w:rPr>
        <w:t xml:space="preserve">secondhand and legacy</w:t>
      </w:r>
      <w:r>
        <w:t xml:space="preserve"> </w:t>
      </w:r>
      <w:r>
        <w:t xml:space="preserve">channels are counted: roughly 35% of firms predate 2010 — a legacy installed base that cannot be retrofitted with know-your-customer checks, secure boot, or on-device screening — and a used-equipment resale market places even screened-by-design devices outside those controls. A US mandate, in other words, directly reaches under a quarter of known manufacturers, the newest and most capable capacity is concentrating precisely where it does not, and acquisition-outside-manufacturers reaches further still. International harmonisation is therefore not an optional add-on to the control architecture; it is load-bearing.</w:t>
      </w:r>
    </w:p>
    <w:p>
      <w:pPr>
        <w:pStyle w:val="BodyText"/>
      </w:pPr>
      <w:r>
        <w:t xml:space="preserve">A second finding sharpens what</w:t>
      </w:r>
      <w:r>
        <w:t xml:space="preserve"> </w:t>
      </w:r>
      <w:r>
        <w:t xml:space="preserve">“</w:t>
      </w:r>
      <w:r>
        <w:t xml:space="preserve">capability</w:t>
      </w:r>
      <w:r>
        <w:t xml:space="preserve">”</w:t>
      </w:r>
      <w:r>
        <w:t xml:space="preserve"> </w:t>
      </w:r>
      <w:r>
        <w:t xml:space="preserve">means, and where it is DIY versus merely purchasable. Devices reaching 120–150 nucleotides exist in several places — DNA Script’s enzymatic SYNTAX in France (80–120 nt, up to 96 in parallel) and Kilobaser’s column instrument in Austria (~150 nt, one oligo per run) — but both are jurisdictionally reachable and</w:t>
      </w:r>
      <w:r>
        <w:t xml:space="preserve"> </w:t>
      </w:r>
      <w:r>
        <w:rPr>
          <w:b/>
        </w:rPr>
        <w:t xml:space="preserve">gated by proprietary reagent or cartridge licensing: purchasable, not reproducible in-house</w:t>
      </w:r>
      <w:r>
        <w:t xml:space="preserve"> </w:t>
      </w:r>
      <w:r>
        <w:t xml:space="preserve">(benchtop ≠ DIY; the closed consumable is itself the chokepoint). The pattern that matters is that capability is common while the</w:t>
      </w:r>
      <w:r>
        <w:t xml:space="preserve"> </w:t>
      </w:r>
      <w:r>
        <w:rPr>
          <w:i/>
        </w:rPr>
        <w:t xml:space="preserve">combination</w:t>
      </w:r>
      <w:r>
        <w:t xml:space="preserve"> </w:t>
      </w:r>
      <w:r>
        <w:t xml:space="preserve">of capability with unreachability is rare: on the current landscape a single device (LinkZill’s array-based TruSynth, in China) simultaneously offers assembly-relevant length, high throughput, and no US reach. Durable control must therefore attach to capability and jurisdiction, not to chemistry class — a point reinforced by the observation that the same array chemistry spans both a ~30-nt DIY device and an industrial 4,096-plex instrument.</w:t>
      </w:r>
    </w:p>
    <w:p>
      <w:pPr>
        <w:pStyle w:val="BodyText"/>
      </w:pPr>
      <w:r>
        <w:t xml:space="preserve">Set against a</w:t>
      </w:r>
      <w:r>
        <w:t xml:space="preserve"> </w:t>
      </w:r>
      <w:r>
        <w:rPr>
          <w:i/>
        </w:rPr>
        <w:t xml:space="preserve">screened</w:t>
      </w:r>
      <w:r>
        <w:t xml:space="preserve"> </w:t>
      </w:r>
      <w:r>
        <w:t xml:space="preserve">commercial-plus-benchtop perimeter, the</w:t>
      </w:r>
      <w:r>
        <w:t xml:space="preserve"> </w:t>
      </w:r>
      <w:r>
        <w:rPr>
          <w:b/>
        </w:rPr>
        <w:t xml:space="preserve">residual exposure is the DIY / in-house band</w:t>
      </w:r>
      <w:r>
        <w:t xml:space="preserve"> </w:t>
      </w:r>
      <w:r>
        <w:t xml:space="preserve">— OpenIDS-class open-source builds and homebrew enzymatic or column setups from the literature — which no provider or manufacturer mandate reaches. This is the object the index is being reweighted toward, and the reason the project treats commercial systems as a baseline rather than a focus.</w:t>
      </w:r>
    </w:p>
    <w:p>
      <w:pPr>
        <w:pStyle w:val="BodyText"/>
      </w:pPr>
      <w:r>
        <w:t xml:space="preserve">A third finding is about opacity. Across all 34 manufacturers, adopted-screening status could not be verified from public sources. If that holds after fuller research, it is itself a reportable governance result: the benchtop layer is currently close to unauditable from the outside. Relatedly, electrochemical synthesis — the chemistry the index scores as highest potential concern because of its portability and commodity materials — has no commercial instance anywhere in the landscape, which corroborates its low technology-readiness (TRL 3) from the market side and frames it as a conditional-future concern rather than a present capability.</w:t>
      </w:r>
    </w:p>
    <w:p>
      <w:pPr>
        <w:pStyle w:val="BodyText"/>
      </w:pPr>
      <w:r>
        <w:t xml:space="preserve">And the</w:t>
      </w:r>
      <w:r>
        <w:t xml:space="preserve"> </w:t>
      </w:r>
      <w:r>
        <w:rPr>
          <w:b/>
        </w:rPr>
        <w:t xml:space="preserve">attribution backstop is no longer only specified — it is demonstrated</w:t>
      </w:r>
      <w:r>
        <w:t xml:space="preserve">. Four synthesis chemistries’ error signatures have been reproduced from public sequencing deposits, with class-level attribution measured (above), turning the</w:t>
      </w:r>
      <w:r>
        <w:t xml:space="preserve"> </w:t>
      </w:r>
      <w:r>
        <w:t xml:space="preserve">“</w:t>
      </w:r>
      <w:r>
        <w:t xml:space="preserve">detect</w:t>
      </w:r>
      <w:r>
        <w:t xml:space="preserve">”</w:t>
      </w:r>
      <w:r>
        <w:t xml:space="preserve"> </w:t>
      </w:r>
      <w:r>
        <w:t xml:space="preserve">leg of the architecture from a proposal into a working capability that complements imperfect prevention.</w:t>
      </w:r>
    </w:p>
    <w:p>
      <w:pPr>
        <w:pStyle w:val="BodyText"/>
      </w:pPr>
      <w:r>
        <w:t xml:space="preserve">Finally, the attribution and screening layers connect to a live vulnerability in current tools. Recent work (Wittmann et al.,</w:t>
      </w:r>
      <w:r>
        <w:t xml:space="preserve"> </w:t>
      </w:r>
      <w:r>
        <w:rPr>
          <w:i/>
        </w:rPr>
        <w:t xml:space="preserve">Science</w:t>
      </w:r>
      <w:r>
        <w:t xml:space="preserve">, 2025) showed that similarity-based screening can be evaded by AI-designed protein variants that retain predicted function while diverging in sequence; after coordinated patching, roughly 3% of the more-probably-functional variants still escaped detection. This is precisely the gap the October 2026 functional sequence-of-concern provision is meant to close, and it is why the project treats functional detection, not sequence similarity alone, as the frontier problem.</w:t>
      </w:r>
    </w:p>
    <w:p>
      <w:pPr>
        <w:pStyle w:val="Heading2"/>
      </w:pPr>
      <w:bookmarkStart w:id="27" w:name="scope-and-why-the-boundary-is-principled"/>
      <w:r>
        <w:t xml:space="preserve">Scope, and why the boundary is principled</w:t>
      </w:r>
      <w:bookmarkEnd w:id="27"/>
    </w:p>
    <w:p>
      <w:pPr>
        <w:pStyle w:val="FirstParagraph"/>
      </w:pPr>
      <w:r>
        <w:t xml:space="preserve">The analysis is limited to the</w:t>
      </w:r>
      <w:r>
        <w:t xml:space="preserve"> </w:t>
      </w:r>
      <w:r>
        <w:rPr>
          <w:b/>
        </w:rPr>
        <w:t xml:space="preserve">synthesis step</w:t>
      </w:r>
      <w:r>
        <w:t xml:space="preserve">. Assembly of short oligos into genes, pathogen rescue, and deployment are explicitly out of scope (OOS) — not for convenience, but because the binding constraint sits downstream of synthesis. Assembling short oligos into genes is standard, decades-old methodology, but converting low-fidelity DIY oligos into a correct, functional gene depends on an error-correction, clonal-selection, and verification pipeline, and reliable assembly beyond roughly 7,000–10,000 base pairs requires bacterial and yeast host systems plus virus-specific expertise. This is the same barrier NTI’s 2023 assessment of benchtop devices identifies from independent expert consensus. Scoping to synthesis is therefore a decision to characterise the genuinely governable chokepoint. Method-level detectability and supply-chain scoring are held pending IBBIS infohazard review.</w:t>
      </w:r>
    </w:p>
    <w:p>
      <w:pPr>
        <w:pStyle w:val="Heading2"/>
      </w:pPr>
      <w:bookmarkStart w:id="28" w:name="deliverables"/>
      <w:r>
        <w:t xml:space="preserve">Deliverables</w:t>
      </w:r>
      <w:bookmarkEnd w:id="28"/>
    </w:p>
    <w:p>
      <w:pPr>
        <w:pStyle w:val="FirstParagraph"/>
      </w:pPr>
      <w:r>
        <w:t xml:space="preserve">The fellowship will produce a technical report (~5,000 words) presenting the regime-conditional index, the accessibility-and-reach analysis, the control-robustness assessment, and the attribution specification and reproduction results, with full confidence bounds and sensitivity results; a policy brief (~2,000 words) with stakeholder-specific recommendations for 2026–2030 governance; open annexes containing the index workbook and the accessibility scoring sheet; and two to three expert reviews confirming analytical validity.</w:t>
      </w:r>
    </w:p>
    <w:p>
      <w:pPr>
        <w:pStyle w:val="Heading2"/>
      </w:pPr>
      <w:bookmarkStart w:id="29" w:name="why-it-matters"/>
      <w:r>
        <w:t xml:space="preserve">Why it matters</w:t>
      </w:r>
      <w:bookmarkEnd w:id="29"/>
    </w:p>
    <w:p>
      <w:pPr>
        <w:pStyle w:val="FirstParagraph"/>
      </w:pPr>
      <w:r>
        <w:t xml:space="preserve">The contribution is to move the synthesis-screening conversation from threat-ranking — which sequences or devices are most dangerous — toward</w:t>
      </w:r>
      <w:r>
        <w:t xml:space="preserve"> </w:t>
      </w:r>
      <w:r>
        <w:rPr>
          <w:b/>
        </w:rPr>
        <w:t xml:space="preserve">governance-architecture design</w:t>
      </w:r>
      <w:r>
        <w:t xml:space="preserve">: which controls remain robust, which are fragile, and where policy should invest so that a mandatory, on-device regime is actually effective, and actually reaches far enough, through 2030. The honest assessment is that screening is being proactively strengthened because policymakers concluded that device-level integration and mandatory requirements are necessary for long-term resilience. This project’s job is to help that strategy succeed — by identifying which levers hold, what forensic capability is needed as a backstop for the devices those levers cannot reach (now demonstrated, not just proposed), and where the jurisdictional, legacy, and DIY gaps will otherwise undermine 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2026-07-23T09:43:15Z</dcterms:created>
  <dcterms:modified xsi:type="dcterms:W3CDTF">2026-07-23T09:43:15Z</dcterms:modified>
</cp:coreProperties>
</file>

<file path=docProps/custom.xml><?xml version="1.0" encoding="utf-8"?>
<Properties xmlns="http://schemas.openxmlformats.org/officeDocument/2006/custom-properties" xmlns:vt="http://schemas.openxmlformats.org/officeDocument/2006/docPropsVTypes"/>
</file>