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c402b772c9189e5fb4abe29f2d9d9c6392fcc"/>
      <w:r>
        <w:t xml:space="preserve">The Phosphoramidite Supply Chain — A Biosecurity Monitorability &amp; Control-Point Assessment</w:t>
      </w:r>
      <w:bookmarkEnd w:id="20"/>
    </w:p>
    <w:p>
      <w:pPr>
        <w:pStyle w:val="FirstParagraph"/>
      </w:pPr>
      <w:r>
        <w:rPr>
          <w:i/>
        </w:rPr>
        <w:t xml:space="preserve">Prepared for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DNA Synthesis Screening Under Device Proliferation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project · defensive governance analysis · no synthesis procedures included</w:t>
      </w:r>
    </w:p>
    <w:p>
      <w:pPr>
        <w:pStyle w:val="BodyText"/>
      </w:pPr>
      <w:r>
        <w:rPr>
          <w:b/>
        </w:rPr>
        <w:t xml:space="preserve">How to read this document.</w:t>
      </w:r>
      <w:r>
        <w:t xml:space="preserve"> </w:t>
      </w:r>
      <w:r>
        <w:t xml:space="preserve">Every quantitative claim is attributed to a named source. Market-size figures are commercial market-research estimates that disagree with one another; they are shown as a spread, not a consensus. A</w:t>
      </w:r>
      <w:r>
        <w:t xml:space="preserve"> </w:t>
      </w:r>
      <w:r>
        <w:t xml:space="preserve">“</w:t>
      </w:r>
      <w:r>
        <w:t xml:space="preserve">Contacts / where to dig further</w:t>
      </w:r>
      <w:r>
        <w:t xml:space="preserve">”</w:t>
      </w:r>
      <w:r>
        <w:t xml:space="preserve"> </w:t>
      </w:r>
      <w:r>
        <w:t xml:space="preserve">section lists the people and organisations to approach for the numbers that are not public.</w:t>
      </w:r>
    </w:p>
    <w:p>
      <w:pPr>
        <w:pStyle w:val="Heading2"/>
      </w:pPr>
      <w:bookmarkStart w:id="21" w:name="bottom-line"/>
      <w:r>
        <w:t xml:space="preserve">1. Bottom line</w:t>
      </w:r>
      <w:bookmarkEnd w:id="21"/>
    </w:p>
    <w:p>
      <w:pPr>
        <w:pStyle w:val="FirstParagraph"/>
      </w:pPr>
      <w:r>
        <w:t xml:space="preserve">Phosphoramidites are the commodity nucleoside</w:t>
      </w:r>
      <w:r>
        <w:t xml:space="preserve"> </w:t>
      </w:r>
      <w:r>
        <w:t xml:space="preserve">“</w:t>
      </w:r>
      <w:r>
        <w:t xml:space="preserve">building blocks</w:t>
      </w:r>
      <w:r>
        <w:t xml:space="preserve">”</w:t>
      </w:r>
      <w:r>
        <w:t xml:space="preserve"> </w:t>
      </w:r>
      <w:r>
        <w:t xml:space="preserve">of chemical DNA synthesis. For biosecurity purposes the assessment is two-sided and must be kept separate: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 a control lever, the danger is LOW.</w:t>
      </w:r>
      <w:r>
        <w:t xml:space="preserve"> </w:t>
      </w:r>
      <w:r>
        <w:t xml:space="preserve">Phosphoramidites are ordinary, unscheduled research chemicals sold by ~a dozen suppliers across the US, Europe and Asia; they are not export-controlled or subject to any purchase (KYC) requirement; and they are chemically substitutable — they can even be made on demand from more stable precursors (Sandahl et al., 2021,</w:t>
      </w:r>
      <w:r>
        <w:t xml:space="preserve"> </w:t>
      </w:r>
      <w:r>
        <w:rPr>
          <w:i/>
        </w:rPr>
        <w:t xml:space="preserve">Nature Communications</w:t>
      </w:r>
      <w:r>
        <w:t xml:space="preserve">) and used with unregulated solvent substitutes (Kim, Kim &amp; Bang, 2024,</w:t>
      </w:r>
      <w:r>
        <w:t xml:space="preserve"> </w:t>
      </w:r>
      <w:r>
        <w:rPr>
          <w:i/>
        </w:rPr>
        <w:t xml:space="preserve">Sci. Rep.</w:t>
      </w:r>
      <w:r>
        <w:t xml:space="preserve"> </w:t>
      </w:r>
      <w:r>
        <w:t xml:space="preserve">14:3773). Restricting or monitoring them is therefore not a durable control point — consistent with this project’s Chapter 2 finding and with how NTI/IBBIS/OSTP actually govern synthesis (they screen sequences and devices, not reagents).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 a supply-chain-resilience question, the concentration is real but is an economic/geopolitical issue, not a misuse chokepoint.</w:t>
      </w:r>
      <w:r>
        <w:t xml:space="preserve"> </w:t>
      </w:r>
      <w:r>
        <w:t xml:space="preserve">High-purity amidites and their upstream precursors come from a limited number of firms, with a growing bulk role in China (notably Hongene Biotech), which is why the US has begun reshoring the amidite/RNA-materials supply and why the BIOSECURE Act touches this space. That matters for drug-supply security, not for whether a bad actor can obtain reagents.</w:t>
      </w:r>
    </w:p>
    <w:p>
      <w:pPr>
        <w:pStyle w:val="FirstParagraph"/>
      </w:pPr>
      <w:r>
        <w:t xml:space="preserve">In one line: you cannot secure DNA synthesis by controlling phosphoramidites — the reagent is too commodity, too substitutable, and swamped by legitimate demand; control belongs at the sequence and the device.</w:t>
      </w:r>
    </w:p>
    <w:p>
      <w:pPr>
        <w:pStyle w:val="Heading2"/>
      </w:pPr>
      <w:bookmarkStart w:id="22" w:name="what-a-phosphoramidite-is-non-procedural"/>
      <w:r>
        <w:t xml:space="preserve">2. What a phosphoramidite is (non-procedural)</w:t>
      </w:r>
      <w:bookmarkEnd w:id="22"/>
    </w:p>
    <w:p>
      <w:pPr>
        <w:pStyle w:val="FirstParagraph"/>
      </w:pPr>
      <w:r>
        <w:t xml:space="preserve">A nucleoside phosphoramidite is a chemically</w:t>
      </w:r>
      <w:r>
        <w:t xml:space="preserve"> </w:t>
      </w:r>
      <w:r>
        <w:t xml:space="preserve">“</w:t>
      </w:r>
      <w:r>
        <w:t xml:space="preserve">activated,</w:t>
      </w:r>
      <w:r>
        <w:t xml:space="preserve">”</w:t>
      </w:r>
      <w:r>
        <w:t xml:space="preserve"> </w:t>
      </w:r>
      <w:r>
        <w:t xml:space="preserve">protected form of one of the four DNA (or RNA) building blocks, used in automated solid-phase oligonucleotide synthesis. Each amidite carries a 5′-dimethoxytrityl (DMT) protecting group and a reactive phosphite group; it is produced by reacting a protected nucleoside with a phosphitylation reagent (2-cyanoethyl N,N-diisopropyl-chlorophosphoramidite / bis-amidite type). The four standard DNA amidites (dA, dC, dG, dT), plus modified/RNA amidites, are catalog items.</w:t>
      </w:r>
    </w:p>
    <w:p>
      <w:pPr>
        <w:pStyle w:val="Heading2"/>
      </w:pPr>
      <w:bookmarkStart w:id="23" w:name="X9019eeb5ea514d24773c2b11943f531f3cc76d5"/>
      <w:r>
        <w:t xml:space="preserve">3. Supply-chain structure and where the chokepoints are</w:t>
      </w:r>
      <w:bookmarkEnd w:id="23"/>
    </w:p>
    <w:p>
      <w:pPr>
        <w:pStyle w:val="FirstParagraph"/>
      </w:pPr>
      <w:r>
        <w:t xml:space="preserve">The chain, upstream → downstream: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Raw/upstream inputs</w:t>
      </w:r>
      <w:r>
        <w:t xml:space="preserve"> </w:t>
      </w:r>
      <w:r>
        <w:t xml:space="preserve">— protected nucleosides (</w:t>
      </w:r>
      <w:r>
        <w:t xml:space="preserve">“</w:t>
      </w:r>
      <w:r>
        <w:t xml:space="preserve">PNS</w:t>
      </w:r>
      <w:r>
        <w:t xml:space="preserve">”</w:t>
      </w:r>
      <w:r>
        <w:t xml:space="preserve">), specialty protecting-group and phosphitylation reagents, controlled-pore-glass (CPG) solid supports.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Amidite manufacturers/formulators</w:t>
      </w:r>
      <w:r>
        <w:t xml:space="preserve"> </w:t>
      </w:r>
      <w:r>
        <w:t xml:space="preserve">— convert protected nucleosides into finished phosphoramidites (research-grade and GMP-grade).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Distributors / catalog suppliers</w:t>
      </w:r>
      <w:r>
        <w:t xml:space="preserve"> </w:t>
      </w:r>
      <w:r>
        <w:t xml:space="preserve">— sell to end users, each shipment with a Certificate of Analysis.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End users</w:t>
      </w:r>
      <w:r>
        <w:t xml:space="preserve"> </w:t>
      </w:r>
      <w:r>
        <w:t xml:space="preserve">— (a) commercial gene-synthesis providers; (b) benchtop/DIY synthesizers; (c) therapeutic-oligonucleotide (ASO/siRNA/mRNA) manufacturers, now the dominant demand pull.</w:t>
      </w:r>
    </w:p>
    <w:p>
      <w:pPr>
        <w:pStyle w:val="FirstParagraph"/>
      </w:pPr>
      <w:r>
        <w:rPr>
          <w:b/>
        </w:rPr>
        <w:t xml:space="preserve">Chokepoint analysis: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single firm or country is a monopoly chokepoint.</w:t>
      </w:r>
      <w:r>
        <w:t xml:space="preserve"> </w:t>
      </w:r>
      <w:r>
        <w:t xml:space="preserve">Research-grade amidites are multi-sourced across the US (Glen Research, ChemGenes, TriLink, Thermo Fisher), Europe (Merck/Germany, LGC/UK–Denmark, Biosynth/Switzerland) and Asia (Hongene/China; Kaneka, Nitto, Ajinomoto/Japan). The right description is tier-and-region concentration, not a single point of failure.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genuine concentration is upstream and at bulk/GMP scale.</w:t>
      </w:r>
      <w:r>
        <w:t xml:space="preserve"> </w:t>
      </w:r>
      <w:r>
        <w:t xml:space="preserve">Industry-engineering sources describe high-purity nucleoside phosphoramidites as critical raw materials produced by a</w:t>
      </w:r>
      <w:r>
        <w:t xml:space="preserve"> </w:t>
      </w:r>
      <w:r>
        <w:t xml:space="preserve">“</w:t>
      </w:r>
      <w:r>
        <w:t xml:space="preserve">limited number of global suppliers,</w:t>
      </w:r>
      <w:r>
        <w:t xml:space="preserve">”</w:t>
      </w:r>
      <w:r>
        <w:t xml:space="preserve"> </w:t>
      </w:r>
      <w:r>
        <w:t xml:space="preserve">creating vulnerability to a single-facility or geopolitical disruption (ISPE Pharmaceutical Engineering, Nov–Dec 2025; CRB — Best practices in oligonucleotide manufacturing).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Analytical hypothesis (unconfirmed):</w:t>
      </w:r>
      <w:r>
        <w:t xml:space="preserve"> </w:t>
      </w:r>
      <w:r>
        <w:t xml:space="preserve">upstream protected-nucleoside/reagent production is probably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concentrated than amidite formulation, because formulation is a fairly standardised final step done by many firms whereas raw/protected-nucleoside and phosphitylation-reagent production is more capital- and chemistry-intensive and is prominently offered by vertically integrated Chinese producers (Hongene lists distinct upstream tiers — Nucleosides, Protected Nucleosides, nucleotides, linkers, reagents — hongene.com/products). No retrieved source quantifies this split; treat it as a reasoning-based hypothesis to confirm with an industry source (see Contacts).</w:t>
      </w:r>
    </w:p>
    <w:p>
      <w:pPr>
        <w:pStyle w:val="Heading2"/>
      </w:pPr>
      <w:bookmarkStart w:id="24" w:name="who-makes-them-manufacturers-hq-role"/>
      <w:r>
        <w:t xml:space="preserve">4. Who makes them (manufacturers, HQ, role)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HQ / geography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/ grade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Glen Research</w:t>
            </w:r>
          </w:p>
        </w:tc>
        <w:tc>
          <w:p>
            <w:pPr>
              <w:pStyle w:val="Compact"/>
              <w:jc w:val="left"/>
            </w:pPr>
            <w:r>
              <w:t xml:space="preserve">Sterling, Virginia, USA (Maravai LifeSciences)</w:t>
            </w:r>
          </w:p>
        </w:tc>
        <w:tc>
          <w:p>
            <w:pPr>
              <w:pStyle w:val="Compact"/>
              <w:jc w:val="left"/>
            </w:pPr>
            <w:r>
              <w:t xml:space="preserve">Research-scale amidites &amp;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glenresearch.com/about-us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ChemGenes</w:t>
            </w:r>
          </w:p>
        </w:tc>
        <w:tc>
          <w:p>
            <w:pPr>
              <w:pStyle w:val="Compact"/>
              <w:jc w:val="left"/>
            </w:pPr>
            <w:r>
              <w:t xml:space="preserve">Wilmington, Massachusetts, USA (est. 1981)</w:t>
            </w:r>
          </w:p>
        </w:tc>
        <w:tc>
          <w:p>
            <w:pPr>
              <w:pStyle w:val="Compact"/>
              <w:jc w:val="left"/>
            </w:pPr>
            <w:r>
              <w:t xml:space="preserve">DNA/RNA amidites, CPG, nucleosides</w:t>
            </w:r>
          </w:p>
        </w:tc>
        <w:tc>
          <w:p>
            <w:pPr>
              <w:pStyle w:val="Compact"/>
              <w:jc w:val="left"/>
            </w:pPr>
            <w:r>
              <w:t xml:space="preserve">chemgenes.com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LGC Biosearch Technologies</w:t>
            </w:r>
          </w:p>
        </w:tc>
        <w:tc>
          <w:p>
            <w:pPr>
              <w:pStyle w:val="Compact"/>
              <w:jc w:val="left"/>
            </w:pPr>
            <w:r>
              <w:t xml:space="preserve">Petaluma &amp; Novato, CA, USA + Denmark (LGC Group, UK)</w:t>
            </w:r>
          </w:p>
        </w:tc>
        <w:tc>
          <w:p>
            <w:pPr>
              <w:pStyle w:val="Compact"/>
              <w:jc w:val="left"/>
            </w:pPr>
            <w:r>
              <w:t xml:space="preserve">GMP oligo/amidite manufacturing</w:t>
            </w:r>
          </w:p>
        </w:tc>
        <w:tc>
          <w:p>
            <w:pPr>
              <w:pStyle w:val="Compact"/>
              <w:jc w:val="left"/>
            </w:pPr>
            <w:r>
              <w:t xml:space="preserve">lgcgroup.com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Merck KGaA / Sigma-Aldrich</w:t>
            </w:r>
          </w:p>
        </w:tc>
        <w:tc>
          <w:p>
            <w:pPr>
              <w:pStyle w:val="Compact"/>
              <w:jc w:val="left"/>
            </w:pPr>
            <w:r>
              <w:t xml:space="preserve">Darmstadt, Germany</w:t>
            </w:r>
          </w:p>
        </w:tc>
        <w:tc>
          <w:p>
            <w:pPr>
              <w:pStyle w:val="Compact"/>
              <w:jc w:val="left"/>
            </w:pPr>
            <w:r>
              <w:t xml:space="preserve">Catalog/research amidites &amp; reagents</w:t>
            </w:r>
          </w:p>
        </w:tc>
        <w:tc>
          <w:p>
            <w:pPr>
              <w:pStyle w:val="Compact"/>
              <w:jc w:val="left"/>
            </w:pPr>
            <w:r>
              <w:t xml:space="preserve">Coherent Market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Thermo Fisher Scientific</w:t>
            </w:r>
          </w:p>
        </w:tc>
        <w:tc>
          <w:p>
            <w:pPr>
              <w:pStyle w:val="Compact"/>
              <w:jc w:val="left"/>
            </w:pPr>
            <w:r>
              <w:t xml:space="preserve">Waltham, Massachusetts, USA</w:t>
            </w:r>
          </w:p>
        </w:tc>
        <w:tc>
          <w:p>
            <w:pPr>
              <w:pStyle w:val="Compact"/>
              <w:jc w:val="left"/>
            </w:pPr>
            <w:r>
              <w:t xml:space="preserve">Amidites for oligo synthesis</w:t>
            </w:r>
          </w:p>
        </w:tc>
        <w:tc>
          <w:p>
            <w:pPr>
              <w:pStyle w:val="Compact"/>
              <w:jc w:val="left"/>
            </w:pPr>
            <w:r>
              <w:t xml:space="preserve">thermofisher.com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Hongene Biotech</w:t>
            </w:r>
          </w:p>
        </w:tc>
        <w:tc>
          <w:p>
            <w:pPr>
              <w:pStyle w:val="Compact"/>
              <w:jc w:val="left"/>
            </w:pPr>
            <w:r>
              <w:t xml:space="preserve">China (Shanghai); US subsidiary Union City, CA; offices Germany/Japan</w:t>
            </w:r>
          </w:p>
        </w:tc>
        <w:tc>
          <w:p>
            <w:pPr>
              <w:pStyle w:val="Compact"/>
              <w:jc w:val="left"/>
            </w:pPr>
            <w:r>
              <w:t xml:space="preserve">Vertically integrated bulk raw materials + CDMO; 58 t/yr amidite capacity</w:t>
            </w:r>
          </w:p>
        </w:tc>
        <w:tc>
          <w:p>
            <w:pPr>
              <w:pStyle w:val="Compact"/>
              <w:jc w:val="left"/>
            </w:pPr>
            <w:r>
              <w:t xml:space="preserve">Hongene capacity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Biosynth (acq. Carbosynth)</w:t>
            </w:r>
          </w:p>
        </w:tc>
        <w:tc>
          <w:p>
            <w:pPr>
              <w:pStyle w:val="Compact"/>
              <w:jc w:val="left"/>
            </w:pPr>
            <w:r>
              <w:t xml:space="preserve">Staad, Switzerland</w:t>
            </w:r>
          </w:p>
        </w:tc>
        <w:tc>
          <w:p>
            <w:pPr>
              <w:pStyle w:val="Compact"/>
              <w:jc w:val="left"/>
            </w:pPr>
            <w:r>
              <w:t xml:space="preserve">Nucleosides &amp; specialty synthesis chemicals</w:t>
            </w:r>
          </w:p>
        </w:tc>
        <w:tc>
          <w:p>
            <w:pPr>
              <w:pStyle w:val="Compact"/>
              <w:jc w:val="left"/>
            </w:pPr>
            <w:r>
              <w:t xml:space="preserve">biosynth.com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TriLink BioTechnologies</w:t>
            </w:r>
          </w:p>
        </w:tc>
        <w:tc>
          <w:p>
            <w:pPr>
              <w:pStyle w:val="Compact"/>
              <w:jc w:val="left"/>
            </w:pPr>
            <w:r>
              <w:t xml:space="preserve">San Diego, California, USA (Maravai)</w:t>
            </w:r>
          </w:p>
        </w:tc>
        <w:tc>
          <w:p>
            <w:pPr>
              <w:pStyle w:val="Compact"/>
              <w:jc w:val="left"/>
            </w:pPr>
            <w:r>
              <w:t xml:space="preserve">Amidites, modified nucleotides</w:t>
            </w:r>
          </w:p>
        </w:tc>
        <w:tc>
          <w:p>
            <w:pPr>
              <w:pStyle w:val="Compact"/>
              <w:jc w:val="left"/>
            </w:pPr>
            <w:r>
              <w:t xml:space="preserve">biospace.com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Kaneka (Eurogentec)</w:t>
            </w:r>
          </w:p>
        </w:tc>
        <w:tc>
          <w:p>
            <w:pPr>
              <w:pStyle w:val="Compact"/>
              <w:jc w:val="left"/>
            </w:pPr>
            <w:r>
              <w:t xml:space="preserve">Osaka, Japan; subsidiary in Belgium</w:t>
            </w:r>
          </w:p>
        </w:tc>
        <w:tc>
          <w:p>
            <w:pPr>
              <w:pStyle w:val="Compact"/>
              <w:jc w:val="left"/>
            </w:pPr>
            <w:r>
              <w:t xml:space="preserve">GMP oligonucleotide manufacturing</w:t>
            </w:r>
          </w:p>
        </w:tc>
        <w:tc>
          <w:p>
            <w:pPr>
              <w:pStyle w:val="Compact"/>
              <w:jc w:val="left"/>
            </w:pPr>
            <w:r>
              <w:t xml:space="preserve">Kaneka news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Nitto Denko / Avecia</w:t>
            </w:r>
          </w:p>
        </w:tc>
        <w:tc>
          <w:p>
            <w:pPr>
              <w:pStyle w:val="Compact"/>
              <w:jc w:val="left"/>
            </w:pPr>
            <w:r>
              <w:t xml:space="preserve">Osaka, Japan; Avecia in Milford, MA, USA</w:t>
            </w:r>
          </w:p>
        </w:tc>
        <w:tc>
          <w:p>
            <w:pPr>
              <w:pStyle w:val="Compact"/>
              <w:jc w:val="left"/>
            </w:pPr>
            <w:r>
              <w:t xml:space="preserve">Oligo CDMO; ~US$226M expansion</w:t>
            </w:r>
          </w:p>
        </w:tc>
        <w:tc>
          <w:p>
            <w:pPr>
              <w:pStyle w:val="Compact"/>
              <w:jc w:val="left"/>
            </w:pPr>
            <w:r>
              <w:t xml:space="preserve">Fierce Pharma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Ajinomoto Bio-Pharma / GeneDesign</w:t>
            </w:r>
          </w:p>
        </w:tc>
        <w:tc>
          <w:p>
            <w:pPr>
              <w:pStyle w:val="Compact"/>
              <w:jc w:val="left"/>
            </w:pPr>
            <w:r>
              <w:t xml:space="preserve">Osaka, Japan</w:t>
            </w:r>
          </w:p>
        </w:tc>
        <w:tc>
          <w:p>
            <w:pPr>
              <w:pStyle w:val="Compact"/>
              <w:jc w:val="left"/>
            </w:pPr>
            <w:r>
              <w:t xml:space="preserve">Largest GMP solid-phase oligo capability in Japan</w:t>
            </w:r>
          </w:p>
        </w:tc>
        <w:tc>
          <w:p>
            <w:pPr>
              <w:pStyle w:val="Compact"/>
              <w:jc w:val="left"/>
            </w:pPr>
            <w:r>
              <w:t xml:space="preserve">Drug Dev. &amp;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Bioneer</w:t>
            </w:r>
          </w:p>
        </w:tc>
        <w:tc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p>
            <w:pPr>
              <w:pStyle w:val="Compact"/>
              <w:jc w:val="left"/>
            </w:pPr>
            <w:r>
              <w:t xml:space="preserve">Named market participant</w:t>
            </w:r>
          </w:p>
        </w:tc>
        <w:tc>
          <w:p>
            <w:pPr>
              <w:pStyle w:val="Compact"/>
              <w:jc w:val="left"/>
            </w:pPr>
            <w:r>
              <w:t xml:space="preserve">Mordor company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Lumiprobe</w:t>
            </w:r>
          </w:p>
        </w:tc>
        <w:tc>
          <w:p>
            <w:pPr>
              <w:pStyle w:val="Compact"/>
              <w:jc w:val="left"/>
            </w:pPr>
            <w:r>
              <w:t xml:space="preserve">USA (Maryland)</w:t>
            </w:r>
          </w:p>
        </w:tc>
        <w:tc>
          <w:p>
            <w:pPr>
              <w:pStyle w:val="Compact"/>
              <w:jc w:val="left"/>
            </w:pPr>
            <w:r>
              <w:t xml:space="preserve">Fluorescent + modified amidites</w:t>
            </w:r>
          </w:p>
        </w:tc>
        <w:tc>
          <w:p>
            <w:pPr>
              <w:pStyle w:val="Compact"/>
              <w:jc w:val="left"/>
            </w:pPr>
            <w:r>
              <w:t xml:space="preserve">lumiprobe.com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PolyOrg Inc</w:t>
            </w:r>
          </w:p>
        </w:tc>
        <w:tc>
          <w:p>
            <w:pPr>
              <w:pStyle w:val="Compact"/>
              <w:jc w:val="left"/>
            </w:pPr>
            <w:r>
              <w:t xml:space="preserve">USA (Massachusetts)</w:t>
            </w:r>
          </w:p>
        </w:tc>
        <w:tc>
          <w:p>
            <w:pPr>
              <w:pStyle w:val="Compact"/>
              <w:jc w:val="left"/>
            </w:pPr>
            <w:r>
              <w:t xml:space="preserve">DNA/RNA + modified phosphoramidites</w:t>
            </w:r>
          </w:p>
        </w:tc>
        <w:tc>
          <w:p>
            <w:pPr>
              <w:pStyle w:val="Compact"/>
              <w:jc w:val="left"/>
            </w:pPr>
            <w:r>
              <w:t xml:space="preserve">polyorginc.com</w:t>
            </w:r>
          </w:p>
        </w:tc>
      </w:tr>
    </w:tbl>
    <w:p>
      <w:pPr>
        <w:pStyle w:val="BodyText"/>
      </w:pPr>
      <w:r>
        <w:rPr>
          <w:b/>
        </w:rPr>
        <w:t xml:space="preserve">Market concentration (indicative, market-research estimate).</w:t>
      </w:r>
      <w:r>
        <w:t xml:space="preserve"> </w:t>
      </w:r>
      <w:r>
        <w:t xml:space="preserve">One vendor states the top six — Thermo Fisher, Merck, Danaher, LGC Biosearch, Qiagen, Hongene — hold ~60–70% of the phosphoramidite market (2024) (Coherent Market Insights). This is a research-firm estimate, not audited (and its grouping reflects parent companies, e.g. Danaher via IDT/Aldevron) — treat as directional.</w:t>
      </w:r>
    </w:p>
    <w:p>
      <w:pPr>
        <w:pStyle w:val="BodyText"/>
      </w:pPr>
      <w:r>
        <w:rPr>
          <w:b/>
        </w:rPr>
        <w:t xml:space="preserve">China / bulk role.</w:t>
      </w:r>
      <w:r>
        <w:t xml:space="preserve"> </w:t>
      </w:r>
      <w:r>
        <w:t xml:space="preserve">Hongene is described as the largest supplier of nucleic-acid raw materials used in mRNA COVID-19 vaccines and is expanding a vertically integrated</w:t>
      </w:r>
      <w:r>
        <w:t xml:space="preserve"> </w:t>
      </w:r>
      <w:r>
        <w:t xml:space="preserve">“</w:t>
      </w:r>
      <w:r>
        <w:t xml:space="preserve">raw materials → CDMO</w:t>
      </w:r>
      <w:r>
        <w:t xml:space="preserve">”</w:t>
      </w:r>
      <w:r>
        <w:t xml:space="preserve"> </w:t>
      </w:r>
      <w:r>
        <w:t xml:space="preserve">platform (PharmaSource). WuXi STA is reported to run 27 oligonucleotide production lines (Mordor Intelligence). The therapeutic-grade bulk chain (Hongene, WuXi STA, Nitto Avecia, Ajinomoto, Kaneka, CordenPharma) is functionally distinct from the research/benchtop catalog channel (Glen Research, Biosearch, Thermo) relevant to DIY — an inference from grade, scale and supplier positioning rather than a single explicit source.</w:t>
      </w:r>
    </w:p>
    <w:p>
      <w:pPr>
        <w:pStyle w:val="Heading2"/>
      </w:pPr>
      <w:bookmarkStart w:id="25" w:name="Xf82142ec419f626bfcf3d61af024a8a2990a67f"/>
      <w:r>
        <w:t xml:space="preserve">5. Market size &amp; structure (a spread of vendor estimates)</w:t>
      </w:r>
      <w:bookmarkEnd w:id="25"/>
    </w:p>
    <w:p>
      <w:pPr>
        <w:pStyle w:val="FirstParagraph"/>
      </w:pPr>
      <w:r>
        <w:t xml:space="preserve">Base-year values cluster tightly (~US$1.1–1.2 billion, 2023–2025); forecasts to 2033–2034 diverge ~40%.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Grand View Research (2024)</w:t>
            </w:r>
          </w:p>
        </w:tc>
        <w:tc>
          <w:p>
            <w:pPr>
              <w:pStyle w:val="Compact"/>
              <w:jc w:val="left"/>
            </w:pPr>
            <w:r>
              <w:t xml:space="preserve">$1.08B (2023)</w:t>
            </w:r>
          </w:p>
        </w:tc>
        <w:tc>
          <w:p>
            <w:pPr>
              <w:pStyle w:val="Compact"/>
              <w:jc w:val="left"/>
            </w:pPr>
            <w:r>
              <w:t xml:space="preserve">$1.76B by 2030</w:t>
            </w:r>
          </w:p>
        </w:tc>
        <w:tc>
          <w:p>
            <w:pPr>
              <w:pStyle w:val="Compact"/>
              <w:jc w:val="left"/>
            </w:pPr>
            <w:r>
              <w:t xml:space="preserve">7.37%</w:t>
            </w:r>
          </w:p>
        </w:tc>
        <w:tc>
          <w:p>
            <w:pPr>
              <w:pStyle w:val="Compact"/>
              <w:jc w:val="left"/>
            </w:pPr>
            <w:r>
              <w:t xml:space="preserve">GVR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Grand View Research (2025 revision)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$2.27B by 2033</w:t>
            </w:r>
          </w:p>
        </w:tc>
        <w:tc>
          <w:p>
            <w:pPr>
              <w:pStyle w:val="Compact"/>
              <w:jc w:val="left"/>
            </w:pPr>
            <w:r>
              <w:t xml:space="preserve">8.06%</w:t>
            </w:r>
          </w:p>
        </w:tc>
        <w:tc>
          <w:p>
            <w:pPr>
              <w:pStyle w:val="Compact"/>
              <w:jc w:val="left"/>
            </w:pPr>
            <w:r>
              <w:t xml:space="preserve">GVR press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Mordor Intelligence</w:t>
            </w:r>
          </w:p>
        </w:tc>
        <w:tc>
          <w:p>
            <w:pPr>
              <w:pStyle w:val="Compact"/>
              <w:jc w:val="left"/>
            </w:pPr>
            <w:r>
              <w:t xml:space="preserve">$1.20B (2025)</w:t>
            </w:r>
          </w:p>
        </w:tc>
        <w:tc>
          <w:p>
            <w:pPr>
              <w:pStyle w:val="Compact"/>
              <w:jc w:val="left"/>
            </w:pPr>
            <w:r>
              <w:t xml:space="preserve">$1.74B by 2031</w:t>
            </w:r>
          </w:p>
        </w:tc>
        <w:tc>
          <w:p>
            <w:pPr>
              <w:pStyle w:val="Compact"/>
              <w:jc w:val="left"/>
            </w:pPr>
            <w:r>
              <w:t xml:space="preserve">6.34%</w:t>
            </w:r>
          </w:p>
        </w:tc>
        <w:tc>
          <w:p>
            <w:pPr>
              <w:pStyle w:val="Compact"/>
              <w:jc w:val="left"/>
            </w:pPr>
            <w:r>
              <w:t xml:space="preserve">Mordor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GMInsights</w:t>
            </w:r>
          </w:p>
        </w:tc>
        <w:tc>
          <w:p>
            <w:pPr>
              <w:pStyle w:val="Compact"/>
              <w:jc w:val="left"/>
            </w:pPr>
            <w:r>
              <w:t xml:space="preserve">$1.2B (2024)</w:t>
            </w:r>
          </w:p>
        </w:tc>
        <w:tc>
          <w:p>
            <w:pPr>
              <w:pStyle w:val="Compact"/>
              <w:jc w:val="left"/>
            </w:pPr>
            <w:r>
              <w:t xml:space="preserve">~$2.4–2.45B by 2034</w:t>
            </w:r>
          </w:p>
        </w:tc>
        <w:tc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p>
            <w:pPr>
              <w:pStyle w:val="Compact"/>
              <w:jc w:val="left"/>
            </w:pPr>
            <w:r>
              <w:t xml:space="preserve">GMInsights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Emergen Research</w:t>
            </w:r>
          </w:p>
        </w:tc>
        <w:tc>
          <w:p>
            <w:pPr>
              <w:pStyle w:val="Compact"/>
              <w:jc w:val="left"/>
            </w:pPr>
            <w:r>
              <w:t xml:space="preserve">$1.2B (2024)</w:t>
            </w:r>
          </w:p>
        </w:tc>
        <w:tc>
          <w:p>
            <w:pPr>
              <w:pStyle w:val="Compact"/>
              <w:jc w:val="left"/>
            </w:pPr>
            <w:r>
              <w:t xml:space="preserve">$2.4B by 2033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Emergen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Astute Analytica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$2.44B by 2033</w:t>
            </w:r>
          </w:p>
        </w:tc>
        <w:tc>
          <w:p>
            <w:pPr>
              <w:pStyle w:val="Compact"/>
              <w:jc w:val="left"/>
            </w:pPr>
            <w:r>
              <w:t xml:space="preserve">8.1%</w:t>
            </w:r>
          </w:p>
        </w:tc>
        <w:tc>
          <w:p>
            <w:pPr>
              <w:pStyle w:val="Compact"/>
              <w:jc w:val="left"/>
            </w:pPr>
            <w:r>
              <w:t xml:space="preserve">Astute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Coherent Market Insights</w:t>
            </w:r>
          </w:p>
        </w:tc>
        <w:tc>
          <w:p>
            <w:pPr>
              <w:pStyle w:val="Compact"/>
              <w:jc w:val="left"/>
            </w:pPr>
            <w:r>
              <w:t xml:space="preserve">$1.09B (2026)</w:t>
            </w:r>
          </w:p>
        </w:tc>
        <w:tc>
          <w:p>
            <w:pPr>
              <w:pStyle w:val="Compact"/>
              <w:jc w:val="left"/>
            </w:pPr>
            <w:r>
              <w:t xml:space="preserve">$1.83B by 2033</w:t>
            </w:r>
          </w:p>
        </w:tc>
        <w:tc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p>
            <w:pPr>
              <w:pStyle w:val="Compact"/>
              <w:jc w:val="left"/>
            </w:pPr>
            <w:r>
              <w:t xml:space="preserve">Coherent</w:t>
            </w:r>
          </w:p>
        </w:tc>
      </w:tr>
    </w:tbl>
    <w:p>
      <w:pPr>
        <w:pStyle w:val="BodyText"/>
      </w:pPr>
      <w:r>
        <w:rPr>
          <w:b/>
        </w:rPr>
        <w:t xml:space="preserve">Regional share.</w:t>
      </w:r>
      <w:r>
        <w:t xml:space="preserve"> </w:t>
      </w:r>
      <w:r>
        <w:t xml:space="preserve">North America is largest — 39.3% (Grand View, 2024) vs 44.1% (GMInsights, 2024) (vendors differ ~5 points). Asia-Pacific is the fastest-growing region (~9–10% CAGR); Europe is consistently third.</w:t>
      </w:r>
    </w:p>
    <w:p>
      <w:pPr>
        <w:pStyle w:val="BodyText"/>
      </w:pPr>
      <w:r>
        <w:rPr>
          <w:b/>
        </w:rPr>
        <w:t xml:space="preserve">Growth drivers (consistent across vendors).</w:t>
      </w:r>
      <w:r>
        <w:t xml:space="preserve"> </w:t>
      </w:r>
      <w:r>
        <w:t xml:space="preserve">Nucleic-acid therapeutics — antisense oligonucleotides, siRNA and mRNA — dominate; RNA phosphoramidites are the fastest-growing type; drug discovery is the largest application (GVR press release).</w:t>
      </w:r>
    </w:p>
    <w:p>
      <w:pPr>
        <w:pStyle w:val="BodyText"/>
      </w:pPr>
      <w:r>
        <w:rPr>
          <w:b/>
        </w:rPr>
        <w:t xml:space="preserve">Context — larger adjacent markets (do not conflate).</w:t>
      </w:r>
      <w:r>
        <w:t xml:space="preserve"> </w:t>
      </w:r>
      <w:r>
        <w:t xml:space="preserve">The broader</w:t>
      </w:r>
      <w:r>
        <w:t xml:space="preserve"> </w:t>
      </w:r>
      <w:r>
        <w:t xml:space="preserve">“</w:t>
      </w:r>
      <w:r>
        <w:t xml:space="preserve">oligonucleotide synthesis</w:t>
      </w:r>
      <w:r>
        <w:t xml:space="preserve">”</w:t>
      </w:r>
      <w:r>
        <w:t xml:space="preserve"> </w:t>
      </w:r>
      <w:r>
        <w:t xml:space="preserve">market is quoted anywhere from US$4.05B → $8.83B by 2030 (GVR) to US$24.7B by 2030 (MarketsandMarkets) — an order-of-magnitude gap that reflects scope-definition differences, not a real discrepancy. Use the phosphoramidite-specific figures for this report and cite the adjacent ones only as context.</w:t>
      </w:r>
    </w:p>
    <w:p>
      <w:pPr>
        <w:pStyle w:val="Heading2"/>
      </w:pPr>
      <w:bookmarkStart w:id="26" w:name="X4ba50ff1584134bc0d602282d241fda1de16bbf"/>
      <w:r>
        <w:t xml:space="preserve">6. Regulatory &amp; control status (the monitorability question)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 export-controlled or scheduled.</w:t>
      </w:r>
      <w:r>
        <w:t xml:space="preserve"> </w:t>
      </w:r>
      <w:r>
        <w:t xml:space="preserve">A targeted search of the Australia Group control lists (chemical-weapon precursors and dual-use bio equipment) and general US Commerce Control List material did not surface nucleoside phosphoramidites as controlled items — they are ordinary research chemicals, distinct from the specific toxic CW precursors the Australia Group lists. Framing note: this is a</w:t>
      </w:r>
      <w:r>
        <w:t xml:space="preserve"> </w:t>
      </w:r>
      <w:r>
        <w:t xml:space="preserve">“</w:t>
      </w:r>
      <w:r>
        <w:t xml:space="preserve">not found on the control lists</w:t>
      </w:r>
      <w:r>
        <w:t xml:space="preserve">”</w:t>
      </w:r>
      <w:r>
        <w:t xml:space="preserve"> </w:t>
      </w:r>
      <w:r>
        <w:t xml:space="preserve">finding, not a formal legal opinion — confirm with an export-control officer before asserting it definitively (see Contacts).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purchase-side KYC.</w:t>
      </w:r>
      <w:r>
        <w:t xml:space="preserve"> </w:t>
      </w:r>
      <w:r>
        <w:t xml:space="preserve">There is no know-your-customer or licensing requirement to buy phosphoramidites. The screening regime that does exist — IGSC’s Harmonized Protocol and the OSTP Framework — screens the synthesized sequence and the customer of a synthesis order, not the reagent buyer (OSTP Framework, Sept 2024; IBBIS Common Mechanism).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Why governance deliberately avoids reagent controls.</w:t>
      </w:r>
      <w:r>
        <w:t xml:space="preserve"> </w:t>
      </w:r>
      <w:r>
        <w:t xml:space="preserve">Biosecurity policy converges on screening sequences and devices rather than reagents, because restrictions on tangible, ubiquitous dual-use items are easy to circumvent and would burden overwhelmingly legitimate use (Rose et al., 2024,</w:t>
      </w:r>
      <w:r>
        <w:t xml:space="preserve"> </w:t>
      </w:r>
      <w:r>
        <w:rPr>
          <w:i/>
        </w:rPr>
        <w:t xml:space="preserve">Practical Questions for Securing Nucleic Acid Synthesis</w:t>
      </w:r>
      <w:r>
        <w:t xml:space="preserve">; Diggans &amp; Leproust, 2019,</w:t>
      </w:r>
      <w:r>
        <w:t xml:space="preserve"> </w:t>
      </w:r>
      <w:r>
        <w:rPr>
          <w:i/>
        </w:rPr>
        <w:t xml:space="preserve">Next Steps for Access to Safe, Secure DNA Synthesis</w:t>
      </w:r>
      <w:r>
        <w:t xml:space="preserve">; a 2026 risk-based oversight framework, Frontiers in Bioengineering and Biotechnology).</w:t>
      </w:r>
    </w:p>
    <w:p>
      <w:pPr>
        <w:pStyle w:val="Heading2"/>
      </w:pPr>
      <w:bookmarkStart w:id="27" w:name="Xab9dee28d00314c0b2aff43a381b0c2ce0c561a"/>
      <w:r>
        <w:t xml:space="preserve">7. Biosecurity risk /</w:t>
      </w:r>
      <w:r>
        <w:t xml:space="preserve"> </w:t>
      </w:r>
      <w:r>
        <w:t xml:space="preserve">“</w:t>
      </w:r>
      <w:r>
        <w:t xml:space="preserve">how dangerous</w:t>
      </w:r>
      <w:r>
        <w:t xml:space="preserve">”</w:t>
      </w:r>
      <w:r>
        <w:t xml:space="preserve"> </w:t>
      </w:r>
      <w:r>
        <w:t xml:space="preserve">— calibrated</w:t>
      </w:r>
      <w:bookmarkEnd w:id="27"/>
    </w:p>
    <w:p>
      <w:pPr>
        <w:pStyle w:val="FirstParagraph"/>
      </w:pPr>
      <w:r>
        <w:rPr>
          <w:b/>
        </w:rPr>
        <w:t xml:space="preserve">As a misuse-control lever: LOW.</w:t>
      </w:r>
      <w:r>
        <w:t xml:space="preserve"> </w:t>
      </w:r>
      <w:r>
        <w:t xml:space="preserve">Reasons, each evidenced: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Commodity &amp; multi-sourced</w:t>
      </w:r>
      <w:r>
        <w:t xml:space="preserve"> </w:t>
      </w:r>
      <w:r>
        <w:t xml:space="preserve">— a dozen-plus independent global suppliers (§4); restricting one is routed around.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Substitutable at the reagent level</w:t>
      </w:r>
      <w:r>
        <w:t xml:space="preserve"> </w:t>
      </w:r>
      <w:r>
        <w:t xml:space="preserve">— phosphoramidites can be synthesized on demand from more stable parent alcohols in flow, near-quantitatively and without purification,</w:t>
      </w:r>
      <w:r>
        <w:t xml:space="preserve"> </w:t>
      </w:r>
      <w:r>
        <w:t xml:space="preserve">“</w:t>
      </w:r>
      <w:r>
        <w:t xml:space="preserve">potentially operated by non-chemists,</w:t>
      </w:r>
      <w:r>
        <w:t xml:space="preserve">”</w:t>
      </w:r>
      <w:r>
        <w:t xml:space="preserve"> </w:t>
      </w:r>
      <w:r>
        <w:t xml:space="preserve">removing the storage/stability barrier that is a reagent supply’s only natural friction (Sandahl, Nguyen, Hansen, Johansen, Skrydstrup &amp; Gothelf, 2021,</w:t>
      </w:r>
      <w:r>
        <w:t xml:space="preserve"> </w:t>
      </w:r>
      <w:r>
        <w:rPr>
          <w:i/>
        </w:rPr>
        <w:t xml:space="preserve">Nat. Commun.</w:t>
      </w:r>
      <w:r>
        <w:t xml:space="preserve"> </w:t>
      </w:r>
      <w:r>
        <w:t xml:space="preserve">12:2760).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Substitutable at the solvent level</w:t>
      </w:r>
      <w:r>
        <w:t xml:space="preserve"> </w:t>
      </w:r>
      <w:r>
        <w:t xml:space="preserve">— the associated solvent (acetonitrile) can be replaced by propylene carbonate, an unregulated GRAS food additive, in DIY synthesis (Kim, Kim &amp; Bang, 2024).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Legitimate demand dwarfs any misuse signal</w:t>
      </w:r>
      <w:r>
        <w:t xml:space="preserve"> </w:t>
      </w:r>
      <w:r>
        <w:t xml:space="preserve">— a ~$1.1B and double-digit-growth market driven by therapeutics/diagnostics/research (§5) means purchase data carries essentially no discriminating signal for misuse.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reagent is not itself hazardous</w:t>
      </w:r>
      <w:r>
        <w:t xml:space="preserve"> </w:t>
      </w:r>
      <w:r>
        <w:t xml:space="preserve">— phosphoramidites are lab chemicals, not toxins or weapons; their only biosecurity relevance is as an enabler of synthesis, and synthesis is better governed downstream (sequence + device).</w:t>
      </w:r>
    </w:p>
    <w:p>
      <w:pPr>
        <w:pStyle w:val="FirstParagraph"/>
      </w:pPr>
      <w:r>
        <w:t xml:space="preserve">This directly corroborates the project’s Chapter 2 conclusion that supply-chain restriction is not a durable control point under either regime.</w:t>
      </w:r>
    </w:p>
    <w:p>
      <w:pPr>
        <w:pStyle w:val="BodyText"/>
      </w:pPr>
      <w:r>
        <w:rPr>
          <w:b/>
        </w:rPr>
        <w:t xml:space="preserve">As a supply-chain-resilience issue: MEDIUM — but a different problem.</w:t>
      </w:r>
      <w:r>
        <w:t xml:space="preserve"> </w:t>
      </w:r>
      <w:r>
        <w:t xml:space="preserve">The bulk/GMP amidite supply is geographically concentrated, with a growing Chinese role. This is why the US has moved to first-shore genetic-medicine and RNA-materials manufacturing — for example ARPA-H’s GIVE program (Genetic medicines and Individualized manufacturing for everyone), which funds automated RNA manufacturing and integrated quality control to on-shore genetic-medicine production (arpa-h.gov) — and why the</w:t>
      </w:r>
      <w:r>
        <w:t xml:space="preserve"> </w:t>
      </w:r>
      <w:r>
        <w:rPr>
          <w:b/>
        </w:rPr>
        <w:t xml:space="preserve">BIOSECURE Act</w:t>
      </w:r>
      <w:r>
        <w:t xml:space="preserve">, enacted as</w:t>
      </w:r>
      <w:r>
        <w:t xml:space="preserve"> </w:t>
      </w:r>
      <w:r>
        <w:rPr>
          <w:b/>
        </w:rPr>
        <w:t xml:space="preserve">Section 851 of the FY2026 National Defense Authorization Act (P.L. 119-60, signed 18 December 2025)</w:t>
      </w:r>
      <w:r>
        <w:t xml:space="preserve">, restricts US federal agencies from contracting with named Chinese</w:t>
      </w:r>
      <w:r>
        <w:t xml:space="preserve"> </w:t>
      </w:r>
      <w:r>
        <w:t xml:space="preserve">“</w:t>
      </w:r>
      <w:r>
        <w:t xml:space="preserve">biotechnology companies of concern.</w:t>
      </w:r>
      <w:r>
        <w:t xml:space="preserve">”</w:t>
      </w:r>
      <w:r>
        <w:t xml:space="preserve"> </w:t>
      </w:r>
      <w:r>
        <w:t xml:space="preserve">Both are economic/drug-security policy, not misuse chokepoints, and should be labelled as such in the thesis so the two risks are not conflated.</w:t>
      </w:r>
    </w:p>
    <w:p>
      <w:pPr>
        <w:pStyle w:val="Heading2"/>
      </w:pPr>
      <w:bookmarkStart w:id="28" w:name="monitoring-feasibility-realistic-options"/>
      <w:r>
        <w:t xml:space="preserve">8. Monitoring feasibility &amp; realistic options</w:t>
      </w:r>
      <w:bookmarkEnd w:id="28"/>
    </w:p>
    <w:p>
      <w:pPr>
        <w:pStyle w:val="FirstParagraph"/>
      </w:pPr>
      <w:r>
        <w:t xml:space="preserve">Given §6–7, monitoring who buys phosphoramidites is largely infeasible and low-value as a biosecurity measure: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would be required:</w:t>
      </w:r>
      <w:r>
        <w:t xml:space="preserve"> </w:t>
      </w:r>
      <w:r>
        <w:t xml:space="preserve">a KYC/registration regime on reagent sales (none exists), harmonised internationally (or buyers shift to foreign suppliers), covering both finished amidites and the parent alcohols/precursors (or the on-demand synthesis routes around them). The cost/burden falls almost entirely on legitimate users.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Why it fails:</w:t>
      </w:r>
      <w:r>
        <w:t xml:space="preserve"> </w:t>
      </w:r>
      <w:r>
        <w:t xml:space="preserve">the same substitutability and legitimate-demand arguments in §7; a reagent-purchase signal cannot distinguish a benign lab from a misuse actor.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Where monitoring is tractable and already the focus:</w:t>
      </w:r>
      <w:r>
        <w:t xml:space="preserve"> </w:t>
      </w:r>
      <w:r>
        <w:t xml:space="preserve">the synthesis order (sequence + customer screening, IGSC/OSTP), the device (on-device screening for benchtop synthesizers), and post-hoc attribution (this project’s Chapter 4). Reagent monitoring, if pursued at all, is a distant fourth and mainly useful for supply-chain resilience (mapping dependency on Chinese bulk suppliers), not misuse detection.</w:t>
      </w:r>
    </w:p>
    <w:p>
      <w:pPr>
        <w:pStyle w:val="FirstParagraph"/>
      </w:pPr>
      <w:r>
        <w:rPr>
          <w:b/>
        </w:rPr>
        <w:t xml:space="preserve">Recommended framing for the thesis:</w:t>
      </w:r>
      <w:r>
        <w:t xml:space="preserve"> </w:t>
      </w:r>
      <w:r>
        <w:t xml:space="preserve">treat phosphoramidite supply as (a) confirming the</w:t>
      </w:r>
      <w:r>
        <w:t xml:space="preserve"> </w:t>
      </w:r>
      <w:r>
        <w:t xml:space="preserve">“</w:t>
      </w:r>
      <w:r>
        <w:t xml:space="preserve">reagent restriction is not durable</w:t>
      </w:r>
      <w:r>
        <w:t xml:space="preserve">”</w:t>
      </w:r>
      <w:r>
        <w:t xml:space="preserve"> </w:t>
      </w:r>
      <w:r>
        <w:t xml:space="preserve">finding, and (b) a separate resilience/economic-security note about Chinese bulk concentration — explicitly not a monitorable misuse chokepoint.</w:t>
      </w:r>
    </w:p>
    <w:p>
      <w:pPr>
        <w:pStyle w:val="Heading2"/>
      </w:pPr>
      <w:bookmarkStart w:id="29" w:name="contacts-where-to-dig-further"/>
      <w:r>
        <w:t xml:space="preserve">9. Contacts / where to dig further</w:t>
      </w:r>
      <w:bookmarkEnd w:id="29"/>
    </w:p>
    <w:p>
      <w:pPr>
        <w:pStyle w:val="FirstParagraph"/>
      </w:pPr>
      <w:r>
        <w:t xml:space="preserve">For figures that are not public (production volumes, buyer lists, real diversion data, licensed market data):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IBBIS</w:t>
      </w:r>
      <w:r>
        <w:t xml:space="preserve"> </w:t>
      </w:r>
      <w:r>
        <w:t xml:space="preserve">— International Biosecurity and Biosafety Initiative for Science (Piers Millett, Exec. Dir.) — authoritative on why governance screens sequences/devices not reagents; your infohazard-review body. ibbis.bio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NTI | bio</w:t>
      </w:r>
      <w:r>
        <w:t xml:space="preserve"> </w:t>
      </w:r>
      <w:r>
        <w:t xml:space="preserve">(Nuclear Threat Initiative) — benchtop-synthesis and supply-chain governance reports; original convenor of the DNA-synthesis screening consortium. nti.org/about/biosecurity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Rob Carlson</w:t>
      </w:r>
      <w:r>
        <w:t xml:space="preserve"> </w:t>
      </w:r>
      <w:r>
        <w:t xml:space="preserve">— synthesis.cc / Planetary Technologies — the authority on DNA-synthesis cost and market trajectories; for reconciling the vendor market-size spread in §5. synthesis.cc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Prof. Kurt V. Gothelf</w:t>
      </w:r>
      <w:r>
        <w:t xml:space="preserve"> </w:t>
      </w:r>
      <w:r>
        <w:t xml:space="preserve">— Aarhus University (iNANO) — senior author of the on-demand phosphoramidite-synthesis paper (§7); the person to ask on how far reagent substitutability has advanced. chem.au.dk/en/kvg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Market-research firms</w:t>
      </w:r>
      <w:r>
        <w:t xml:space="preserve"> </w:t>
      </w:r>
      <w:r>
        <w:t xml:space="preserve">(Grand View Research, Mordor Intelligence, Coherent Market Insights, GMInsights) — hold the licensed, full market data behind the paywalled summaries; the source for verifying the top-6 concentration and regional shares.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ISPE / the oligonucleotide-manufacturing community and the TIDES conference</w:t>
      </w:r>
      <w:r>
        <w:t xml:space="preserve"> </w:t>
      </w:r>
      <w:r>
        <w:t xml:space="preserve">— for real bulk/GMP capacity data and the upstream-vs-formulation concentration question (§3). ispe.org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ARPA-H</w:t>
      </w:r>
      <w:r>
        <w:t xml:space="preserve"> </w:t>
      </w:r>
      <w:r>
        <w:t xml:space="preserve">— to characterise US first-shoring of genetic-medicine/RNA-materials manufacturing (the GIVE program) and any amidite-specific supply work. arpa-h.gov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 institutional export-control officer / BIS</w:t>
      </w:r>
      <w:r>
        <w:t xml:space="preserve"> </w:t>
      </w:r>
      <w:r>
        <w:t xml:space="preserve">(US Bureau of Industry and Security) — to obtain a formal statement that phosphoramidites are not on the CCL/Australia Group lists (§6), rather than relying on a</w:t>
      </w:r>
      <w:r>
        <w:t xml:space="preserve"> </w:t>
      </w:r>
      <w:r>
        <w:t xml:space="preserve">“</w:t>
      </w:r>
      <w:r>
        <w:t xml:space="preserve">not found in search</w:t>
      </w:r>
      <w:r>
        <w:t xml:space="preserve">”</w:t>
      </w:r>
      <w:r>
        <w:t xml:space="preserve"> </w:t>
      </w:r>
      <w:r>
        <w:t xml:space="preserve">result.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Hongene Biotech, WuXi STA, Nitto Avecia</w:t>
      </w:r>
      <w:r>
        <w:t xml:space="preserve"> </w:t>
      </w:r>
      <w:r>
        <w:t xml:space="preserve">(investor-relations/press) — for company-confirmed capacity numbers beyond the one verified figure (Hongene 58 t/yr).</w:t>
      </w:r>
    </w:p>
    <w:p>
      <w:pPr>
        <w:pStyle w:val="Heading2"/>
      </w:pPr>
      <w:bookmarkStart w:id="30" w:name="references"/>
      <w:r>
        <w:t xml:space="preserve">10. References</w:t>
      </w:r>
      <w:bookmarkEnd w:id="30"/>
    </w:p>
    <w:p>
      <w:pPr>
        <w:pStyle w:val="FirstParagraph"/>
      </w:pPr>
      <w:r>
        <w:rPr>
          <w:b/>
        </w:rPr>
        <w:t xml:space="preserve">Peer-reviewed / primary</w:t>
      </w:r>
      <w:r>
        <w:t xml:space="preserve"> </w:t>
      </w:r>
      <w:r>
        <w:t xml:space="preserve">- Sandahl, A. F., Nguyen, T. J. D., Hansen, R. A., Johansen, M. B., Skrydstrup, T., &amp; Gothelf, K. V. (2021). On-demand synthesis of phosphoramidites.</w:t>
      </w:r>
      <w:r>
        <w:t xml:space="preserve"> </w:t>
      </w:r>
      <w:r>
        <w:rPr>
          <w:i/>
        </w:rPr>
        <w:t xml:space="preserve">Nature Communications</w:t>
      </w:r>
      <w:r>
        <w:t xml:space="preserve">, 12, 2760. https://doi.org/10.1038/s41467-021-22945-z</w:t>
      </w:r>
      <w:r>
        <w:t xml:space="preserve"> </w:t>
      </w:r>
      <w:r>
        <w:t xml:space="preserve">- Kim, J., Kim, H., &amp; Bang, D. (2024). An open-source, 3D printed inkjet DNA synthesizer.</w:t>
      </w:r>
      <w:r>
        <w:t xml:space="preserve"> </w:t>
      </w:r>
      <w:r>
        <w:rPr>
          <w:i/>
        </w:rPr>
        <w:t xml:space="preserve">Scientific Reports</w:t>
      </w:r>
      <w:r>
        <w:t xml:space="preserve">, 14, 3773. https://doi.org/10.1038/s41598-024-53944-x</w:t>
      </w:r>
      <w:r>
        <w:t xml:space="preserve"> </w:t>
      </w:r>
      <w:r>
        <w:t xml:space="preserve">- Rose, S., Alexanian, T., Langenkamp, M., Cozzarini, H., &amp; Diggans, J. (2024). Practical Questions for Securing Nucleic Acid Synthesis.</w:t>
      </w:r>
      <w:r>
        <w:t xml:space="preserve"> </w:t>
      </w:r>
      <w:r>
        <w:rPr>
          <w:i/>
        </w:rPr>
        <w:t xml:space="preserve">Applied Biosafety</w:t>
      </w:r>
      <w:r>
        <w:t xml:space="preserve">. https://doi.org/10.1089/apb.2023.0028</w:t>
      </w:r>
      <w:r>
        <w:t xml:space="preserve"> </w:t>
      </w:r>
      <w:r>
        <w:t xml:space="preserve">- Diggans, J., &amp; Leproust, E. (2019). Next Steps for Access to Safe, Secure DNA Synthesis.</w:t>
      </w:r>
      <w:r>
        <w:t xml:space="preserve"> </w:t>
      </w:r>
      <w:r>
        <w:rPr>
          <w:i/>
        </w:rPr>
        <w:t xml:space="preserve">Frontiers in Bioengineering and Biotechnology</w:t>
      </w:r>
      <w:r>
        <w:t xml:space="preserve">, 7, 86. https://doi.org/10.3389/fbioe.2019.00086</w:t>
      </w:r>
      <w:r>
        <w:t xml:space="preserve"> </w:t>
      </w:r>
      <w:r>
        <w:t xml:space="preserve">- A risk-based framework to guide oversight of nucleic acid constructs (2026).</w:t>
      </w:r>
      <w:r>
        <w:t xml:space="preserve"> </w:t>
      </w:r>
      <w:r>
        <w:rPr>
          <w:i/>
        </w:rPr>
        <w:t xml:space="preserve">Frontiers in Bioengineering and Biotechnology</w:t>
      </w:r>
      <w:r>
        <w:t xml:space="preserve">. https://doi.org/10.3389/fbioe.2026.1870125</w:t>
      </w:r>
    </w:p>
    <w:p>
      <w:pPr>
        <w:pStyle w:val="BodyText"/>
      </w:pPr>
      <w:r>
        <w:rPr>
          <w:b/>
        </w:rPr>
        <w:t xml:space="preserve">Policy / governance</w:t>
      </w:r>
      <w:r>
        <w:t xml:space="preserve"> </w:t>
      </w:r>
      <w:r>
        <w:t xml:space="preserve">- OSTP (2024). Framework for Nucleic Acid Synthesis Screening. https://aspr.hhs.gov/S3/</w:t>
      </w:r>
      <w:r>
        <w:t xml:space="preserve"> </w:t>
      </w:r>
      <w:r>
        <w:t xml:space="preserve">- IBBIS — Common Mechanism for DNA Synthesis Screening. https://ibbis.bio/our-work/common-mechanism/</w:t>
      </w:r>
      <w:r>
        <w:t xml:space="preserve"> </w:t>
      </w:r>
      <w:r>
        <w:t xml:space="preserve">- The Australia Group — Chemical Weapons Precursor control list. https://www.dfat.gov.au/publications/minisite/theaustraliagroupnet/site/en/precursors.html</w:t>
      </w:r>
      <w:r>
        <w:t xml:space="preserve"> </w:t>
      </w:r>
      <w:r>
        <w:t xml:space="preserve">- BIOSECURE Act — enacted as §851 of the FY2026 National Defense Authorization Act (P.L. 119-60), signed 18 December 2025.</w:t>
      </w:r>
      <w:r>
        <w:t xml:space="preserve"> </w:t>
      </w:r>
      <w:r>
        <w:t xml:space="preserve">- ARPA-H — GIVE program (Genetic medicines and Individualized manufacturing for everyone). https://arpa-h.gov/explore-funding/programs/give</w:t>
      </w:r>
    </w:p>
    <w:p>
      <w:pPr>
        <w:pStyle w:val="BodyText"/>
      </w:pPr>
      <w:r>
        <w:rPr>
          <w:b/>
        </w:rPr>
        <w:t xml:space="preserve">Company / industry</w:t>
      </w:r>
      <w:r>
        <w:t xml:space="preserve"> </w:t>
      </w:r>
      <w:r>
        <w:t xml:space="preserve">- Hongene Biotech — Phosphoramidite capacity (58 t/yr). https://www.hongene.com/news/hongene-expands-phosphoramidite-production-capability-to-58-t</w:t>
      </w:r>
      <w:r>
        <w:t xml:space="preserve"> </w:t>
      </w:r>
      <w:r>
        <w:t xml:space="preserve">- Glen Research; ChemGenes; LGC Biosearch Technologies; Thermo Fisher (Phosphoramidites); Nitto Denko / Avecia (~$226M expansion, Fierce Pharma); Ajinomoto / GeneDesign; ISPE (oligonucleotide manufacturing, 2025); CRB (best practices in oligonucleotide manufacturing).</w:t>
      </w:r>
    </w:p>
    <w:p>
      <w:pPr>
        <w:pStyle w:val="BodyText"/>
      </w:pPr>
      <w:r>
        <w:rPr>
          <w:b/>
        </w:rPr>
        <w:t xml:space="preserve">Market research (vendor estimates — figures disagree; see §5)</w:t>
      </w:r>
      <w:r>
        <w:t xml:space="preserve"> </w:t>
      </w:r>
      <w:r>
        <w:t xml:space="preserve">- Grand View Research; Mordor Intelligence; GMInsights; Coherent Market Insights; Emergen Research; Astute Analytica.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Verification note (this revision):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Practical Questions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citation was corrected to Rose et al. 2024; the BIOSECURE Act status was confirmed (enacted §851, FY2026 NDAA, 18 Dec 2025); Lumiprobe (Maryland, US) and PolyOrg (Massachusetts, US) HQs were confirmed; and two figures that could not be verified against a primary source — an ARPA-H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$1.5B / $320M amidite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line and an APAC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24.9% / $285.2M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share — were removed. Remaining market-size figures are attributed vendor estimates shown as a spread.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2026-07-24T16:36:03Z</dcterms:created>
  <dcterms:modified xsi:type="dcterms:W3CDTF">2026-07-24T16:36:03Z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