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5c402b772c9189e5fb4abe29f2d9d9c6392fcc"/>
      <w:r>
        <w:t xml:space="preserve">The Phosphoramidite Supply Chain — A Biosecurity Monitorability &amp; Control-Point Assessment</w:t>
      </w:r>
      <w:bookmarkEnd w:id="20"/>
    </w:p>
    <w:p>
      <w:pPr>
        <w:pStyle w:val="FirstParagraph"/>
      </w:pPr>
      <w:r>
        <w:rPr>
          <w:i/>
        </w:rPr>
        <w:t xml:space="preserve">Prepared for the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DNA Synthesis Screening Under Device Proliferation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project · defensive governance analysis · no synthesis procedures included</w:t>
      </w:r>
    </w:p>
    <w:p>
      <w:pPr>
        <w:pStyle w:val="BodyText"/>
      </w:pPr>
      <w:r>
        <w:rPr>
          <w:b/>
        </w:rPr>
        <w:t xml:space="preserve">How to read this document.</w:t>
      </w:r>
      <w:r>
        <w:t xml:space="preserve"> </w:t>
      </w:r>
      <w:r>
        <w:t xml:space="preserve">Every quantitative claim is attributed to a named source. Market-size figures are commercial market-research estimates that disagree with one another; they are shown as a spread, not a consensus. A</w:t>
      </w:r>
      <w:r>
        <w:t xml:space="preserve"> </w:t>
      </w:r>
      <w:r>
        <w:t xml:space="preserve">“</w:t>
      </w:r>
      <w:r>
        <w:t xml:space="preserve">Contacts / where to dig further</w:t>
      </w:r>
      <w:r>
        <w:t xml:space="preserve">”</w:t>
      </w:r>
      <w:r>
        <w:t xml:space="preserve"> </w:t>
      </w:r>
      <w:r>
        <w:t xml:space="preserve">section lists the people and organisations to approach for the numbers that are not public.</w:t>
      </w:r>
    </w:p>
    <w:p>
      <w:pPr>
        <w:pStyle w:val="Heading2"/>
      </w:pPr>
      <w:bookmarkStart w:id="21" w:name="bottom-line"/>
      <w:r>
        <w:t xml:space="preserve">1. Bottom line</w:t>
      </w:r>
      <w:bookmarkEnd w:id="21"/>
    </w:p>
    <w:p>
      <w:pPr>
        <w:pStyle w:val="FirstParagraph"/>
      </w:pPr>
      <w:r>
        <w:t xml:space="preserve">Phosphoramidites are the commodity nucleoside</w:t>
      </w:r>
      <w:r>
        <w:t xml:space="preserve"> </w:t>
      </w:r>
      <w:r>
        <w:t xml:space="preserve">“</w:t>
      </w:r>
      <w:r>
        <w:t xml:space="preserve">building blocks</w:t>
      </w:r>
      <w:r>
        <w:t xml:space="preserve">”</w:t>
      </w:r>
      <w:r>
        <w:t xml:space="preserve"> </w:t>
      </w:r>
      <w:r>
        <w:t xml:space="preserve">of chemical DNA synthesis. For biosecurity purposes the assessment is two-sided and must be kept separate: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As a control lever, the danger is LOW.</w:t>
      </w:r>
      <w:r>
        <w:t xml:space="preserve"> </w:t>
      </w:r>
      <w:r>
        <w:t xml:space="preserve">Phosphoramidites are ordinary, unscheduled research chemicals sold by several dozen suppliers worldwide — on the order of 45–60 firms, of which ~25–30 are true chemical manufacturers — across the US, Europe and Asia; they are not export-controlled or subject to any purchase (KYC) requirement; and they are chemically substitutable — they can even be made on demand from more stable precursors (Sandahl et al., 2021,</w:t>
      </w:r>
      <w:r>
        <w:t xml:space="preserve"> </w:t>
      </w:r>
      <w:r>
        <w:rPr>
          <w:i/>
        </w:rPr>
        <w:t xml:space="preserve">Nature Communications</w:t>
      </w:r>
      <w:r>
        <w:t xml:space="preserve">) and used with unregulated solvent substitutes (Kim, Kim &amp; Bang, 2024,</w:t>
      </w:r>
      <w:r>
        <w:t xml:space="preserve"> </w:t>
      </w:r>
      <w:r>
        <w:rPr>
          <w:i/>
        </w:rPr>
        <w:t xml:space="preserve">Sci. Rep.</w:t>
      </w:r>
      <w:r>
        <w:t xml:space="preserve"> </w:t>
      </w:r>
      <w:r>
        <w:t xml:space="preserve">14:3773). Restricting or monitoring them is therefore not a durable control point — consistent with this project’s Chapter 2 finding and with how NTI/IBBIS/OSTP actually govern synthesis (they screen sequences and devices, not reagents).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As a supply-chain-resilience question, the concentration is real but is an economic/geopolitical issue, not a misuse chokepoint.</w:t>
      </w:r>
      <w:r>
        <w:t xml:space="preserve"> </w:t>
      </w:r>
      <w:r>
        <w:t xml:space="preserve">High-purity amidites and their upstream precursors come from a limited number of firms, with a growing bulk role in China (notably Hongene Biotech), which is why the US has begun reshoring the amidite/RNA-materials supply and why the BIOSECURE Act touches this space. That matters for drug-supply security, not for whether a bad actor can obtain reagents.</w:t>
      </w:r>
    </w:p>
    <w:p>
      <w:pPr>
        <w:pStyle w:val="FirstParagraph"/>
      </w:pPr>
      <w:r>
        <w:t xml:space="preserve">In one line: you cannot secure DNA synthesis by controlling phosphoramidites — the reagent is too commodity, too substitutable, and swamped by legitimate demand; control belongs at the sequence and the device.</w:t>
      </w:r>
    </w:p>
    <w:p>
      <w:pPr>
        <w:pStyle w:val="Heading2"/>
      </w:pPr>
      <w:bookmarkStart w:id="22" w:name="what-a-phosphoramidite-is-non-procedural"/>
      <w:r>
        <w:t xml:space="preserve">2. What a phosphoramidite is (non-procedural)</w:t>
      </w:r>
      <w:bookmarkEnd w:id="22"/>
    </w:p>
    <w:p>
      <w:pPr>
        <w:pStyle w:val="FirstParagraph"/>
      </w:pPr>
      <w:r>
        <w:t xml:space="preserve">A nucleoside phosphoramidite is a chemically</w:t>
      </w:r>
      <w:r>
        <w:t xml:space="preserve"> </w:t>
      </w:r>
      <w:r>
        <w:t xml:space="preserve">“</w:t>
      </w:r>
      <w:r>
        <w:t xml:space="preserve">activated,</w:t>
      </w:r>
      <w:r>
        <w:t xml:space="preserve">”</w:t>
      </w:r>
      <w:r>
        <w:t xml:space="preserve"> </w:t>
      </w:r>
      <w:r>
        <w:t xml:space="preserve">protected form of one of the four DNA (or RNA) building blocks, used in automated solid-phase oligonucleotide synthesis. Each amidite carries a 5′-dimethoxytrityl (DMT) protecting group and a reactive phosphite group; it is produced by reacting a protected nucleoside with a phosphitylation reagent (2-cyanoethyl N,N-diisopropyl-chlorophosphoramidite / bis-amidite type). The four standard DNA amidites (dA, dC, dG, dT), plus modified/RNA amidites, are catalog items.</w:t>
      </w:r>
    </w:p>
    <w:p>
      <w:pPr>
        <w:pStyle w:val="Heading2"/>
      </w:pPr>
      <w:bookmarkStart w:id="23" w:name="X9019eeb5ea514d24773c2b11943f531f3cc76d5"/>
      <w:r>
        <w:t xml:space="preserve">3. Supply-chain structure and where the chokepoints are</w:t>
      </w:r>
      <w:bookmarkEnd w:id="23"/>
    </w:p>
    <w:p>
      <w:pPr>
        <w:pStyle w:val="FirstParagraph"/>
      </w:pPr>
      <w:r>
        <w:t xml:space="preserve">The chain, upstream → downstream: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Raw/upstream inputs</w:t>
      </w:r>
      <w:r>
        <w:t xml:space="preserve"> </w:t>
      </w:r>
      <w:r>
        <w:t xml:space="preserve">— protected nucleosides (</w:t>
      </w:r>
      <w:r>
        <w:t xml:space="preserve">“</w:t>
      </w:r>
      <w:r>
        <w:t xml:space="preserve">PNS</w:t>
      </w:r>
      <w:r>
        <w:t xml:space="preserve">”</w:t>
      </w:r>
      <w:r>
        <w:t xml:space="preserve">), specialty protecting-group and phosphitylation reagents, controlled-pore-glass (CPG) solid supports.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Amidite manufacturers/formulators</w:t>
      </w:r>
      <w:r>
        <w:t xml:space="preserve"> </w:t>
      </w:r>
      <w:r>
        <w:t xml:space="preserve">— convert protected nucleosides into finished phosphoramidites (research-grade and GMP-grade).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Distributors / catalog suppliers</w:t>
      </w:r>
      <w:r>
        <w:t xml:space="preserve"> </w:t>
      </w:r>
      <w:r>
        <w:t xml:space="preserve">— sell to end users, each shipment with a Certificate of Analysis.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End users</w:t>
      </w:r>
      <w:r>
        <w:t xml:space="preserve"> </w:t>
      </w:r>
      <w:r>
        <w:t xml:space="preserve">— (a) commercial gene-synthesis providers; (b) benchtop/DIY synthesizers; (c) therapeutic-oligonucleotide (ASO/siRNA/mRNA) manufacturers, now the dominant demand pull.</w:t>
      </w:r>
    </w:p>
    <w:p>
      <w:pPr>
        <w:pStyle w:val="FirstParagraph"/>
      </w:pPr>
      <w:r>
        <w:rPr>
          <w:b/>
        </w:rPr>
        <w:t xml:space="preserve">Chokepoint analysis: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 single firm or country is a monopoly chokepoint.</w:t>
      </w:r>
      <w:r>
        <w:t xml:space="preserve"> </w:t>
      </w:r>
      <w:r>
        <w:t xml:space="preserve">Research-grade amidites are multi-sourced across the US (Glen Research, ChemGenes, TriLink, Thermo Fisher), Europe (Merck/Germany, LGC/UK–Denmark, Biosynth/Switzerland) and Asia (Hongene, Shanghai Zhaowei, Tianjin Quanhecheng/QHC, Tangzhi, Huaren, Asymchem/China; Kaneka, Nitto, Ajinomoto, TCI/Japan; Bioneer, ST Pharm/Korea; Sai Life, Aragen/India). The right description is tier-and-region concentration, not a single point of failure.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The genuine concentration is upstream and at bulk/GMP scale.</w:t>
      </w:r>
      <w:r>
        <w:t xml:space="preserve"> </w:t>
      </w:r>
      <w:r>
        <w:t xml:space="preserve">Industry-engineering sources describe high-purity nucleoside phosphoramidites as critical raw materials produced by a</w:t>
      </w:r>
      <w:r>
        <w:t xml:space="preserve"> </w:t>
      </w:r>
      <w:r>
        <w:t xml:space="preserve">“</w:t>
      </w:r>
      <w:r>
        <w:t xml:space="preserve">limited number of global suppliers,</w:t>
      </w:r>
      <w:r>
        <w:t xml:space="preserve">”</w:t>
      </w:r>
      <w:r>
        <w:t xml:space="preserve"> </w:t>
      </w:r>
      <w:r>
        <w:t xml:space="preserve">creating vulnerability to a single-facility or geopolitical disruption (ISPE Pharmaceutical Engineering, Nov–Dec 2025; CRB — Best practices in oligonucleotide manufacturing).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Analytical hypothesis (unconfirmed):</w:t>
      </w:r>
      <w:r>
        <w:t xml:space="preserve"> </w:t>
      </w:r>
      <w:r>
        <w:t xml:space="preserve">upstream protected-nucleoside/reagent production is probably</w:t>
      </w:r>
      <w:r>
        <w:t xml:space="preserve"> </w:t>
      </w:r>
      <w:r>
        <w:rPr>
          <w:i/>
        </w:rPr>
        <w:t xml:space="preserve">more</w:t>
      </w:r>
      <w:r>
        <w:t xml:space="preserve"> </w:t>
      </w:r>
      <w:r>
        <w:t xml:space="preserve">concentrated than amidite formulation, because formulation is a fairly standardised final step done by many firms whereas raw/protected-nucleoside and phosphitylation-reagent production is more capital- and chemistry-intensive and is prominently offered by vertically integrated Chinese producers (Hongene lists distinct upstream tiers — Nucleosides, Protected Nucleosides, nucleotides, linkers, reagents — hongene.com/products). No retrieved source quantifies this split; treat it as a reasoning-based hypothesis to confirm with an industry source (see Contacts).</w:t>
      </w:r>
    </w:p>
    <w:p>
      <w:pPr>
        <w:pStyle w:val="Heading2"/>
      </w:pPr>
      <w:bookmarkStart w:id="24" w:name="who-makes-them-manufacturers-hq-role"/>
      <w:r>
        <w:t xml:space="preserve">4. Who makes them (manufacturers, HQ, role)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HQ / geography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 / grade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Glen Research</w:t>
            </w:r>
          </w:p>
        </w:tc>
        <w:tc>
          <w:p>
            <w:pPr>
              <w:pStyle w:val="Compact"/>
              <w:jc w:val="left"/>
            </w:pPr>
            <w:r>
              <w:t xml:space="preserve">Sterling, Virginia, USA (Maravai LifeSciences)</w:t>
            </w:r>
          </w:p>
        </w:tc>
        <w:tc>
          <w:p>
            <w:pPr>
              <w:pStyle w:val="Compact"/>
              <w:jc w:val="left"/>
            </w:pPr>
            <w:r>
              <w:t xml:space="preserve">Research-scale amidites &amp; modifications</w:t>
            </w:r>
          </w:p>
        </w:tc>
        <w:tc>
          <w:p>
            <w:pPr>
              <w:pStyle w:val="Compact"/>
              <w:jc w:val="left"/>
            </w:pPr>
            <w:r>
              <w:t xml:space="preserve">glenresearch.com/about-us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ChemGenes</w:t>
            </w:r>
          </w:p>
        </w:tc>
        <w:tc>
          <w:p>
            <w:pPr>
              <w:pStyle w:val="Compact"/>
              <w:jc w:val="left"/>
            </w:pPr>
            <w:r>
              <w:t xml:space="preserve">Wilmington, Massachusetts, USA (est. 1981)</w:t>
            </w:r>
          </w:p>
        </w:tc>
        <w:tc>
          <w:p>
            <w:pPr>
              <w:pStyle w:val="Compact"/>
              <w:jc w:val="left"/>
            </w:pPr>
            <w:r>
              <w:t xml:space="preserve">DNA/RNA amidites, CPG, nucleosides</w:t>
            </w:r>
          </w:p>
        </w:tc>
        <w:tc>
          <w:p>
            <w:pPr>
              <w:pStyle w:val="Compact"/>
              <w:jc w:val="left"/>
            </w:pPr>
            <w:r>
              <w:t xml:space="preserve">chemgenes.com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LGC Biosearch Technologies</w:t>
            </w:r>
          </w:p>
        </w:tc>
        <w:tc>
          <w:p>
            <w:pPr>
              <w:pStyle w:val="Compact"/>
              <w:jc w:val="left"/>
            </w:pPr>
            <w:r>
              <w:t xml:space="preserve">Petaluma &amp; Novato, CA, USA + Denmark (LGC Group, UK)</w:t>
            </w:r>
          </w:p>
        </w:tc>
        <w:tc>
          <w:p>
            <w:pPr>
              <w:pStyle w:val="Compact"/>
              <w:jc w:val="left"/>
            </w:pPr>
            <w:r>
              <w:t xml:space="preserve">GMP oligo/amidite manufacturing</w:t>
            </w:r>
          </w:p>
        </w:tc>
        <w:tc>
          <w:p>
            <w:pPr>
              <w:pStyle w:val="Compact"/>
              <w:jc w:val="left"/>
            </w:pPr>
            <w:r>
              <w:t xml:space="preserve">lgcgroup.com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Merck KGaA / Sigma-Aldrich</w:t>
            </w:r>
          </w:p>
        </w:tc>
        <w:tc>
          <w:p>
            <w:pPr>
              <w:pStyle w:val="Compact"/>
              <w:jc w:val="left"/>
            </w:pPr>
            <w:r>
              <w:t xml:space="preserve">Darmstadt, Germany</w:t>
            </w:r>
          </w:p>
        </w:tc>
        <w:tc>
          <w:p>
            <w:pPr>
              <w:pStyle w:val="Compact"/>
              <w:jc w:val="left"/>
            </w:pPr>
            <w:r>
              <w:t xml:space="preserve">Catalog/research amidites &amp; reagents</w:t>
            </w:r>
          </w:p>
        </w:tc>
        <w:tc>
          <w:p>
            <w:pPr>
              <w:pStyle w:val="Compact"/>
              <w:jc w:val="left"/>
            </w:pPr>
            <w:r>
              <w:t xml:space="preserve">Coherent Market Insights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Thermo Fisher Scientific</w:t>
            </w:r>
          </w:p>
        </w:tc>
        <w:tc>
          <w:p>
            <w:pPr>
              <w:pStyle w:val="Compact"/>
              <w:jc w:val="left"/>
            </w:pPr>
            <w:r>
              <w:t xml:space="preserve">Waltham, Massachusetts, USA</w:t>
            </w:r>
          </w:p>
        </w:tc>
        <w:tc>
          <w:p>
            <w:pPr>
              <w:pStyle w:val="Compact"/>
              <w:jc w:val="left"/>
            </w:pPr>
            <w:r>
              <w:t xml:space="preserve">Amidites for oligo synthesis</w:t>
            </w:r>
          </w:p>
        </w:tc>
        <w:tc>
          <w:p>
            <w:pPr>
              <w:pStyle w:val="Compact"/>
              <w:jc w:val="left"/>
            </w:pPr>
            <w:r>
              <w:t xml:space="preserve">thermofisher.com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Hongene Biotech</w:t>
            </w:r>
          </w:p>
        </w:tc>
        <w:tc>
          <w:p>
            <w:pPr>
              <w:pStyle w:val="Compact"/>
              <w:jc w:val="left"/>
            </w:pPr>
            <w:r>
              <w:t xml:space="preserve">China (Shanghai); US subsidiary Union City, CA</w:t>
            </w:r>
          </w:p>
        </w:tc>
        <w:tc>
          <w:p>
            <w:pPr>
              <w:pStyle w:val="Compact"/>
              <w:jc w:val="left"/>
            </w:pPr>
            <w:r>
              <w:t xml:space="preserve">Vertically integrated bulk raw materials + CDMO; 58 t/yr amidite capacity</w:t>
            </w:r>
          </w:p>
        </w:tc>
        <w:tc>
          <w:p>
            <w:pPr>
              <w:pStyle w:val="Compact"/>
              <w:jc w:val="left"/>
            </w:pPr>
            <w:r>
              <w:t xml:space="preserve">Hongene capacity release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Shanghai Zhaowei Technology (兆维)</w:t>
            </w:r>
          </w:p>
        </w:tc>
        <w:tc>
          <w:p>
            <w:pPr>
              <w:pStyle w:val="Compact"/>
              <w:jc w:val="left"/>
            </w:pPr>
            <w:r>
              <w:t xml:space="preserve">China (Shanghai; est. 2001)</w:t>
            </w:r>
          </w:p>
        </w:tc>
        <w:tc>
          <w:p>
            <w:pPr>
              <w:pStyle w:val="Compact"/>
              <w:jc w:val="left"/>
            </w:pPr>
            <w:r>
              <w:t xml:space="preserve">One of few firms making high-quality amidite monomers + dNTP/NTP at scale</w:t>
            </w:r>
          </w:p>
        </w:tc>
        <w:tc>
          <w:p>
            <w:pPr>
              <w:pStyle w:val="Compact"/>
              <w:jc w:val="left"/>
            </w:pPr>
            <w:r>
              <w:t xml:space="preserve">zhihu/兆维科技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Tianjin Quanhecheng / QHC (全和诚)</w:t>
            </w:r>
          </w:p>
        </w:tc>
        <w:tc>
          <w:p>
            <w:pPr>
              <w:pStyle w:val="Compact"/>
              <w:jc w:val="left"/>
            </w:pPr>
            <w:r>
              <w:t xml:space="preserve">China (Tianjin; est. 2010)</w:t>
            </w:r>
          </w:p>
        </w:tc>
        <w:tc>
          <w:p>
            <w:pPr>
              <w:pStyle w:val="Compact"/>
              <w:jc w:val="left"/>
            </w:pPr>
            <w:r>
              <w:t xml:space="preserve">Nucleoside + phosphoramidite monomers (gene-testing/therapeutic)</w:t>
            </w:r>
          </w:p>
        </w:tc>
        <w:tc>
          <w:p>
            <w:pPr>
              <w:pStyle w:val="Compact"/>
              <w:jc w:val="left"/>
            </w:pPr>
            <w:r>
              <w:t xml:space="preserve">quanhecheng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Tangzhi Pharmaceutical (糖智药业)</w:t>
            </w:r>
          </w:p>
        </w:tc>
        <w:tc>
          <w:p>
            <w:pPr>
              <w:pStyle w:val="Compact"/>
              <w:jc w:val="left"/>
            </w:pPr>
            <w:r>
              <w:t xml:space="preserve">China (Wuhan/Qingdao/Panjin)</w:t>
            </w:r>
          </w:p>
        </w:tc>
        <w:tc>
          <w:p>
            <w:pPr>
              <w:pStyle w:val="Compact"/>
              <w:jc w:val="left"/>
            </w:pPr>
            <w:r>
              <w:t xml:space="preserve">Nucleoside/amidite monomers; first amidite monomer with FDA DMF</w:t>
            </w:r>
          </w:p>
        </w:tc>
        <w:tc>
          <w:p>
            <w:pPr>
              <w:pStyle w:val="Compact"/>
              <w:jc w:val="left"/>
            </w:pPr>
            <w:r>
              <w:t xml:space="preserve">bydrug/糖智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Huaren Science</w:t>
            </w:r>
          </w:p>
        </w:tc>
        <w:tc>
          <w:p>
            <w:pPr>
              <w:pStyle w:val="Compact"/>
              <w:jc w:val="left"/>
            </w:pPr>
            <w:r>
              <w:t xml:space="preserve">China (Wuhu)</w:t>
            </w:r>
          </w:p>
        </w:tc>
        <w:tc>
          <w:p>
            <w:pPr>
              <w:pStyle w:val="Compact"/>
              <w:jc w:val="left"/>
            </w:pPr>
            <w:r>
              <w:t xml:space="preserve">Modified/RNA/LNA amidites; non-GMP + GMP, DMF support</w:t>
            </w:r>
          </w:p>
        </w:tc>
        <w:tc>
          <w:p>
            <w:pPr>
              <w:pStyle w:val="Compact"/>
              <w:jc w:val="left"/>
            </w:pPr>
            <w:r>
              <w:t xml:space="preserve">huarenscience.com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Asymchem / Kailaiying (凯莱英)</w:t>
            </w:r>
          </w:p>
        </w:tc>
        <w:tc>
          <w:p>
            <w:pPr>
              <w:pStyle w:val="Compact"/>
              <w:jc w:val="left"/>
            </w:pPr>
            <w:r>
              <w:t xml:space="preserve">China (Tianjin)</w:t>
            </w:r>
          </w:p>
        </w:tc>
        <w:tc>
          <w:p>
            <w:pPr>
              <w:pStyle w:val="Compact"/>
              <w:jc w:val="left"/>
            </w:pPr>
            <w:r>
              <w:t xml:space="preserve">Oligo (ASO/siRNA) CDMO; supplies amidite monomers + GalNAc</w:t>
            </w:r>
          </w:p>
        </w:tc>
        <w:tc>
          <w:p>
            <w:pPr>
              <w:pStyle w:val="Compact"/>
              <w:jc w:val="left"/>
            </w:pPr>
            <w:r>
              <w:t xml:space="preserve">asymchem.com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Biosynth (acq. Carbosynth)</w:t>
            </w:r>
          </w:p>
        </w:tc>
        <w:tc>
          <w:p>
            <w:pPr>
              <w:pStyle w:val="Compact"/>
              <w:jc w:val="left"/>
            </w:pPr>
            <w:r>
              <w:t xml:space="preserve">Staad, Switzerland</w:t>
            </w:r>
          </w:p>
        </w:tc>
        <w:tc>
          <w:p>
            <w:pPr>
              <w:pStyle w:val="Compact"/>
              <w:jc w:val="left"/>
            </w:pPr>
            <w:r>
              <w:t xml:space="preserve">Nucleosides &amp; specialty synthesis chemicals</w:t>
            </w:r>
          </w:p>
        </w:tc>
        <w:tc>
          <w:p>
            <w:pPr>
              <w:pStyle w:val="Compact"/>
              <w:jc w:val="left"/>
            </w:pPr>
            <w:r>
              <w:t xml:space="preserve">biosynth.com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TriLink BioTechnologies</w:t>
            </w:r>
          </w:p>
        </w:tc>
        <w:tc>
          <w:p>
            <w:pPr>
              <w:pStyle w:val="Compact"/>
              <w:jc w:val="left"/>
            </w:pPr>
            <w:r>
              <w:t xml:space="preserve">San Diego, California, USA (Maravai)</w:t>
            </w:r>
          </w:p>
        </w:tc>
        <w:tc>
          <w:p>
            <w:pPr>
              <w:pStyle w:val="Compact"/>
              <w:jc w:val="left"/>
            </w:pPr>
            <w:r>
              <w:t xml:space="preserve">Amidites, modified nucleotides</w:t>
            </w:r>
          </w:p>
        </w:tc>
        <w:tc>
          <w:p>
            <w:pPr>
              <w:pStyle w:val="Compact"/>
              <w:jc w:val="left"/>
            </w:pPr>
            <w:r>
              <w:t xml:space="preserve">biospace.com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Kaneka (Eurogentec)</w:t>
            </w:r>
          </w:p>
        </w:tc>
        <w:tc>
          <w:p>
            <w:pPr>
              <w:pStyle w:val="Compact"/>
              <w:jc w:val="left"/>
            </w:pPr>
            <w:r>
              <w:t xml:space="preserve">Osaka, Japan; subsidiary in Belgium</w:t>
            </w:r>
          </w:p>
        </w:tc>
        <w:tc>
          <w:p>
            <w:pPr>
              <w:pStyle w:val="Compact"/>
              <w:jc w:val="left"/>
            </w:pPr>
            <w:r>
              <w:t xml:space="preserve">GMP oligonucleotide manufacturing</w:t>
            </w:r>
          </w:p>
        </w:tc>
        <w:tc>
          <w:p>
            <w:pPr>
              <w:pStyle w:val="Compact"/>
              <w:jc w:val="left"/>
            </w:pPr>
            <w:r>
              <w:t xml:space="preserve">Kaneka news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Nitto Denko / Avecia</w:t>
            </w:r>
          </w:p>
        </w:tc>
        <w:tc>
          <w:p>
            <w:pPr>
              <w:pStyle w:val="Compact"/>
              <w:jc w:val="left"/>
            </w:pPr>
            <w:r>
              <w:t xml:space="preserve">Osaka, Japan; Avecia in Milford, MA, USA</w:t>
            </w:r>
          </w:p>
        </w:tc>
        <w:tc>
          <w:p>
            <w:pPr>
              <w:pStyle w:val="Compact"/>
              <w:jc w:val="left"/>
            </w:pPr>
            <w:r>
              <w:t xml:space="preserve">Oligo CDMO; ~US$226M expansion</w:t>
            </w:r>
          </w:p>
        </w:tc>
        <w:tc>
          <w:p>
            <w:pPr>
              <w:pStyle w:val="Compact"/>
              <w:jc w:val="left"/>
            </w:pPr>
            <w:r>
              <w:t xml:space="preserve">Fierce Pharma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Ajinomoto Bio-Pharma / GeneDesign</w:t>
            </w:r>
          </w:p>
        </w:tc>
        <w:tc>
          <w:p>
            <w:pPr>
              <w:pStyle w:val="Compact"/>
              <w:jc w:val="left"/>
            </w:pPr>
            <w:r>
              <w:t xml:space="preserve">Osaka, Japan</w:t>
            </w:r>
          </w:p>
        </w:tc>
        <w:tc>
          <w:p>
            <w:pPr>
              <w:pStyle w:val="Compact"/>
              <w:jc w:val="left"/>
            </w:pPr>
            <w:r>
              <w:t xml:space="preserve">Largest GMP solid-phase oligo capability in Japan</w:t>
            </w:r>
          </w:p>
        </w:tc>
        <w:tc>
          <w:p>
            <w:pPr>
              <w:pStyle w:val="Compact"/>
              <w:jc w:val="left"/>
            </w:pPr>
            <w:r>
              <w:t xml:space="preserve">Drug Dev. &amp; Delivery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Bioneer</w:t>
            </w:r>
          </w:p>
        </w:tc>
        <w:tc>
          <w:p>
            <w:pPr>
              <w:pStyle w:val="Compact"/>
              <w:jc w:val="left"/>
            </w:pPr>
            <w:r>
              <w:t xml:space="preserve">South Korea</w:t>
            </w:r>
          </w:p>
        </w:tc>
        <w:tc>
          <w:p>
            <w:pPr>
              <w:pStyle w:val="Compact"/>
              <w:jc w:val="left"/>
            </w:pPr>
            <w:r>
              <w:t xml:space="preserve">Named market participant</w:t>
            </w:r>
          </w:p>
        </w:tc>
        <w:tc>
          <w:p>
            <w:pPr>
              <w:pStyle w:val="Compact"/>
              <w:jc w:val="left"/>
            </w:pPr>
            <w:r>
              <w:t xml:space="preserve">Mordor company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Lumiprobe</w:t>
            </w:r>
          </w:p>
        </w:tc>
        <w:tc>
          <w:p>
            <w:pPr>
              <w:pStyle w:val="Compact"/>
              <w:jc w:val="left"/>
            </w:pPr>
            <w:r>
              <w:t xml:space="preserve">USA (Maryland)</w:t>
            </w:r>
          </w:p>
        </w:tc>
        <w:tc>
          <w:p>
            <w:pPr>
              <w:pStyle w:val="Compact"/>
              <w:jc w:val="left"/>
            </w:pPr>
            <w:r>
              <w:t xml:space="preserve">Fluorescent + modified amidites</w:t>
            </w:r>
          </w:p>
        </w:tc>
        <w:tc>
          <w:p>
            <w:pPr>
              <w:pStyle w:val="Compact"/>
              <w:jc w:val="left"/>
            </w:pPr>
            <w:r>
              <w:t xml:space="preserve">lumiprobe.com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PolyOrg Inc</w:t>
            </w:r>
          </w:p>
        </w:tc>
        <w:tc>
          <w:p>
            <w:pPr>
              <w:pStyle w:val="Compact"/>
              <w:jc w:val="left"/>
            </w:pPr>
            <w:r>
              <w:t xml:space="preserve">USA (Massachusetts)</w:t>
            </w:r>
          </w:p>
        </w:tc>
        <w:tc>
          <w:p>
            <w:pPr>
              <w:pStyle w:val="Compact"/>
              <w:jc w:val="left"/>
            </w:pPr>
            <w:r>
              <w:t xml:space="preserve">DNA/RNA + modified phosphoramidites</w:t>
            </w:r>
          </w:p>
        </w:tc>
        <w:tc>
          <w:p>
            <w:pPr>
              <w:pStyle w:val="Compact"/>
              <w:jc w:val="left"/>
            </w:pPr>
            <w:r>
              <w:t xml:space="preserve">polyorginc.com</w:t>
            </w:r>
          </w:p>
        </w:tc>
      </w:tr>
    </w:tbl>
    <w:p>
      <w:pPr>
        <w:pStyle w:val="BodyText"/>
      </w:pPr>
      <w:r>
        <w:rPr>
          <w:b/>
        </w:rPr>
        <w:t xml:space="preserve">Market concentration (indicative, market-research estimate).</w:t>
      </w:r>
      <w:r>
        <w:t xml:space="preserve"> </w:t>
      </w:r>
      <w:r>
        <w:t xml:space="preserve">One vendor states the top six — Thermo Fisher, Merck, Danaher, LGC Biosearch, Qiagen, Hongene — hold ~60–70% of the phosphoramidite market (2024) (Coherent Market Insights). This is a research-firm estimate, not audited (and its grouping reflects parent companies, e.g. Danaher via IDT/Aldevron) — treat as directional.</w:t>
      </w:r>
    </w:p>
    <w:p>
      <w:pPr>
        <w:pStyle w:val="BodyText"/>
      </w:pPr>
      <w:r>
        <w:rPr>
          <w:b/>
        </w:rPr>
        <w:t xml:space="preserve">China / bulk role.</w:t>
      </w:r>
      <w:r>
        <w:t xml:space="preserve"> </w:t>
      </w:r>
      <w:r>
        <w:t xml:space="preserve">Hongene is described as the largest supplier of nucleic-acid raw materials used in mRNA COVID-19 vaccines and is expanding a vertically integrated</w:t>
      </w:r>
      <w:r>
        <w:t xml:space="preserve"> </w:t>
      </w:r>
      <w:r>
        <w:t xml:space="preserve">“</w:t>
      </w:r>
      <w:r>
        <w:t xml:space="preserve">raw materials → CDMO</w:t>
      </w:r>
      <w:r>
        <w:t xml:space="preserve">”</w:t>
      </w:r>
      <w:r>
        <w:t xml:space="preserve"> </w:t>
      </w:r>
      <w:r>
        <w:t xml:space="preserve">platform (PharmaSource). WuXi STA is reported to run 27 oligonucleotide production lines (Mordor Intelligence). The therapeutic-grade bulk chain (Hongene, WuXi STA, Nitto Avecia, Ajinomoto, Kaneka, CordenPharma) is functionally distinct from the research/benchtop catalog channel (Glen Research, Biosearch, Thermo) relevant to DIY — an inference from grade, scale and supplier positioning rather than a single explicit source.</w:t>
      </w:r>
    </w:p>
    <w:p>
      <w:pPr>
        <w:pStyle w:val="Heading3"/>
      </w:pPr>
      <w:bookmarkStart w:id="25" w:name="X8c17ac07b5fb168182b22e2637761c6f9039d99"/>
      <w:r>
        <w:t xml:space="preserve">4.1 Global supplier census (how many firms make/sell amidites?)</w:t>
      </w:r>
      <w:bookmarkEnd w:id="25"/>
    </w:p>
    <w:p>
      <w:pPr>
        <w:pStyle w:val="FirstParagraph"/>
      </w:pPr>
      <w:r>
        <w:t xml:space="preserve">Contrary to a</w:t>
      </w:r>
      <w:r>
        <w:t xml:space="preserve"> </w:t>
      </w:r>
      <w:r>
        <w:t xml:space="preserve">“</w:t>
      </w:r>
      <w:r>
        <w:t xml:space="preserve">~a dozen</w:t>
      </w:r>
      <w:r>
        <w:t xml:space="preserve">”</w:t>
      </w:r>
      <w:r>
        <w:t xml:space="preserve"> </w:t>
      </w:r>
      <w:r>
        <w:t xml:space="preserve">impression, the reagent is made or sold by</w:t>
      </w:r>
      <w:r>
        <w:t xml:space="preserve"> </w:t>
      </w:r>
      <w:r>
        <w:rPr>
          <w:b/>
        </w:rPr>
        <w:t xml:space="preserve">several dozen firms worldwide — on the order of 45–60 identifiable suppliers, of which ~25–30 are true chemical manufacturers</w:t>
      </w:r>
      <w:r>
        <w:t xml:space="preserve">. The field is</w:t>
      </w:r>
      <w:r>
        <w:t xml:space="preserve"> </w:t>
      </w:r>
      <w:r>
        <w:rPr>
          <w:i/>
        </w:rPr>
        <w:t xml:space="preserve">widely multi-sourced at research/catalog grade</w:t>
      </w:r>
      <w:r>
        <w:t xml:space="preserve"> </w:t>
      </w:r>
      <w:r>
        <w:t xml:space="preserve">and only</w:t>
      </w:r>
      <w:r>
        <w:t xml:space="preserve"> </w:t>
      </w:r>
      <w:r>
        <w:rPr>
          <w:i/>
        </w:rPr>
        <w:t xml:space="preserve">moderately concentrated at GMP/bulk grade</w:t>
      </w:r>
      <w:r>
        <w:t xml:space="preserve"> </w:t>
      </w:r>
      <w:r>
        <w:t xml:space="preserve">(~a dozen serious ton-scale producers). China is under-counted here because several bulk producers advertise only on Chinese-language B2B portals; a Chinese-language search added Shanghai Zhaowei, Tianjin Quanhecheng (QHC), Tangzhi Pharmaceutical, Huaren and Asymchem, and China is now the</w:t>
      </w:r>
      <w:r>
        <w:t xml:space="preserve"> </w:t>
      </w:r>
      <w:r>
        <w:rPr>
          <w:b/>
        </w:rPr>
        <w:t xml:space="preserve">largest exporter of nucleic-acid raw materials globally</w:t>
      </w:r>
      <w:r>
        <w:t xml:space="preserve"> </w:t>
      </w:r>
      <w:r>
        <w:t xml:space="preserve">(PHIRDA). Named firms by region: United States ~14, Europe ~13, China ~13 (undercounted), Japan ~5, India ~5, South Korea ~2.</w:t>
      </w:r>
    </w:p>
    <w:p>
      <w:pPr>
        <w:pStyle w:val="CaptionedFigure"/>
      </w:pPr>
      <w:r>
        <w:drawing>
          <wp:inline>
            <wp:extent cx="5334000" cy="2142268"/>
            <wp:effectExtent b="0" l="0" r="0" t="0"/>
            <wp:docPr descr="Phosphoramidite suppliers worldwide" title="" id="1" name="Picture"/>
            <a:graphic>
              <a:graphicData uri="http://schemas.openxmlformats.org/drawingml/2006/picture">
                <pic:pic>
                  <pic:nvPicPr>
                    <pic:cNvPr descr="Phosphoramidite_Suppliers_char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2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Phosphoramidite suppliers worldwide</w:t>
      </w:r>
    </w:p>
    <w:p>
      <w:pPr>
        <w:pStyle w:val="BodyText"/>
      </w:pPr>
      <w:r>
        <w:rPr>
          <w:i/>
        </w:rPr>
        <w:t xml:space="preserve">Figure. Phosphoramidite suppliers worldwide — ~45–60 firms (widely multi-sourced; ~a dozen at GMP/bulk grade). (a) named firms by region, China the largest bulk exporter; (b) by role and grade.</w:t>
      </w:r>
    </w:p>
    <w:p>
      <w:pPr>
        <w:pStyle w:val="BodyText"/>
      </w:pPr>
      <w:r>
        <w:rPr>
          <w:b/>
        </w:rPr>
        <w:t xml:space="preserve">Implication:</w:t>
      </w:r>
      <w:r>
        <w:t xml:space="preserve"> </w:t>
      </w:r>
      <w:r>
        <w:t xml:space="preserve">the larger, better-resolved count</w:t>
      </w:r>
      <w:r>
        <w:t xml:space="preserve"> </w:t>
      </w:r>
      <w:r>
        <w:rPr>
          <w:i/>
        </w:rPr>
        <w:t xml:space="preserve">strengthens</w:t>
      </w:r>
      <w:r>
        <w:t xml:space="preserve"> </w:t>
      </w:r>
      <w:r>
        <w:t xml:space="preserve">the biosecurity conclusion. At research grade the reagent is emphatically not a chokepoint; the only real concentration is at therapeutic GMP/bulk scale, and that is a supply-resilience/economic issue (with a growing China role) — not a misuse-control lever.</w:t>
      </w:r>
    </w:p>
    <w:p>
      <w:pPr>
        <w:pStyle w:val="Heading2"/>
      </w:pPr>
      <w:bookmarkStart w:id="27" w:name="Xf82142ec419f626bfcf3d61af024a8a2990a67f"/>
      <w:r>
        <w:t xml:space="preserve">5. Market size &amp; structure (a spread of vendor estimates)</w:t>
      </w:r>
      <w:bookmarkEnd w:id="27"/>
    </w:p>
    <w:p>
      <w:pPr>
        <w:pStyle w:val="FirstParagraph"/>
      </w:pPr>
      <w:r>
        <w:t xml:space="preserve">Base-year values cluster tightly (~US$1.1–1.2 billion, 2023–2025); forecasts to 2033–2034 diverge ~40%.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Forecast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Grand View Research (2024)</w:t>
            </w:r>
          </w:p>
        </w:tc>
        <w:tc>
          <w:p>
            <w:pPr>
              <w:pStyle w:val="Compact"/>
              <w:jc w:val="left"/>
            </w:pPr>
            <w:r>
              <w:t xml:space="preserve">$1.08B (2023)</w:t>
            </w:r>
          </w:p>
        </w:tc>
        <w:tc>
          <w:p>
            <w:pPr>
              <w:pStyle w:val="Compact"/>
              <w:jc w:val="left"/>
            </w:pPr>
            <w:r>
              <w:t xml:space="preserve">$1.76B by 2030</w:t>
            </w:r>
          </w:p>
        </w:tc>
        <w:tc>
          <w:p>
            <w:pPr>
              <w:pStyle w:val="Compact"/>
              <w:jc w:val="left"/>
            </w:pPr>
            <w:r>
              <w:t xml:space="preserve">7.37%</w:t>
            </w:r>
          </w:p>
        </w:tc>
        <w:tc>
          <w:p>
            <w:pPr>
              <w:pStyle w:val="Compact"/>
              <w:jc w:val="left"/>
            </w:pPr>
            <w:r>
              <w:t xml:space="preserve">GVR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Grand View Research (2025 revision)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$2.27B by 2033</w:t>
            </w:r>
          </w:p>
        </w:tc>
        <w:tc>
          <w:p>
            <w:pPr>
              <w:pStyle w:val="Compact"/>
              <w:jc w:val="left"/>
            </w:pPr>
            <w:r>
              <w:t xml:space="preserve">8.06%</w:t>
            </w:r>
          </w:p>
        </w:tc>
        <w:tc>
          <w:p>
            <w:pPr>
              <w:pStyle w:val="Compact"/>
              <w:jc w:val="left"/>
            </w:pPr>
            <w:r>
              <w:t xml:space="preserve">GVR press release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Mordor Intelligence</w:t>
            </w:r>
          </w:p>
        </w:tc>
        <w:tc>
          <w:p>
            <w:pPr>
              <w:pStyle w:val="Compact"/>
              <w:jc w:val="left"/>
            </w:pPr>
            <w:r>
              <w:t xml:space="preserve">$1.20B (2025)</w:t>
            </w:r>
          </w:p>
        </w:tc>
        <w:tc>
          <w:p>
            <w:pPr>
              <w:pStyle w:val="Compact"/>
              <w:jc w:val="left"/>
            </w:pPr>
            <w:r>
              <w:t xml:space="preserve">$1.74B by 2031</w:t>
            </w:r>
          </w:p>
        </w:tc>
        <w:tc>
          <w:p>
            <w:pPr>
              <w:pStyle w:val="Compact"/>
              <w:jc w:val="left"/>
            </w:pPr>
            <w:r>
              <w:t xml:space="preserve">6.34%</w:t>
            </w:r>
          </w:p>
        </w:tc>
        <w:tc>
          <w:p>
            <w:pPr>
              <w:pStyle w:val="Compact"/>
              <w:jc w:val="left"/>
            </w:pPr>
            <w:r>
              <w:t xml:space="preserve">Mordor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GMInsights</w:t>
            </w:r>
          </w:p>
        </w:tc>
        <w:tc>
          <w:p>
            <w:pPr>
              <w:pStyle w:val="Compact"/>
              <w:jc w:val="left"/>
            </w:pPr>
            <w:r>
              <w:t xml:space="preserve">$1.2B (2024)</w:t>
            </w:r>
          </w:p>
        </w:tc>
        <w:tc>
          <w:p>
            <w:pPr>
              <w:pStyle w:val="Compact"/>
              <w:jc w:val="left"/>
            </w:pPr>
            <w:r>
              <w:t xml:space="preserve">~$2.4–2.45B by 2034</w:t>
            </w:r>
          </w:p>
        </w:tc>
        <w:tc>
          <w:p>
            <w:pPr>
              <w:pStyle w:val="Compact"/>
              <w:jc w:val="left"/>
            </w:pPr>
            <w:r>
              <w:t xml:space="preserve">7.2%</w:t>
            </w:r>
          </w:p>
        </w:tc>
        <w:tc>
          <w:p>
            <w:pPr>
              <w:pStyle w:val="Compact"/>
              <w:jc w:val="left"/>
            </w:pPr>
            <w:r>
              <w:t xml:space="preserve">GMInsights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Emergen Research</w:t>
            </w:r>
          </w:p>
        </w:tc>
        <w:tc>
          <w:p>
            <w:pPr>
              <w:pStyle w:val="Compact"/>
              <w:jc w:val="left"/>
            </w:pPr>
            <w:r>
              <w:t xml:space="preserve">$1.2B (2024)</w:t>
            </w:r>
          </w:p>
        </w:tc>
        <w:tc>
          <w:p>
            <w:pPr>
              <w:pStyle w:val="Compact"/>
              <w:jc w:val="left"/>
            </w:pPr>
            <w:r>
              <w:t xml:space="preserve">$2.4B by 2033</w:t>
            </w:r>
          </w:p>
        </w:tc>
        <w:tc>
          <w:p>
            <w:pPr>
              <w:pStyle w:val="Compact"/>
              <w:jc w:val="left"/>
            </w:pPr>
            <w:r>
              <w:t xml:space="preserve">8.0%</w:t>
            </w:r>
          </w:p>
        </w:tc>
        <w:tc>
          <w:p>
            <w:pPr>
              <w:pStyle w:val="Compact"/>
              <w:jc w:val="left"/>
            </w:pPr>
            <w:r>
              <w:t xml:space="preserve">Emergen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Astute Analytica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$2.44B by 2033</w:t>
            </w:r>
          </w:p>
        </w:tc>
        <w:tc>
          <w:p>
            <w:pPr>
              <w:pStyle w:val="Compact"/>
              <w:jc w:val="left"/>
            </w:pPr>
            <w:r>
              <w:t xml:space="preserve">8.1%</w:t>
            </w:r>
          </w:p>
        </w:tc>
        <w:tc>
          <w:p>
            <w:pPr>
              <w:pStyle w:val="Compact"/>
              <w:jc w:val="left"/>
            </w:pPr>
            <w:r>
              <w:t xml:space="preserve">Astute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Coherent Market Insights</w:t>
            </w:r>
          </w:p>
        </w:tc>
        <w:tc>
          <w:p>
            <w:pPr>
              <w:pStyle w:val="Compact"/>
              <w:jc w:val="left"/>
            </w:pPr>
            <w:r>
              <w:t xml:space="preserve">$1.09B (2026)</w:t>
            </w:r>
          </w:p>
        </w:tc>
        <w:tc>
          <w:p>
            <w:pPr>
              <w:pStyle w:val="Compact"/>
              <w:jc w:val="left"/>
            </w:pPr>
            <w:r>
              <w:t xml:space="preserve">$1.83B by 2033</w:t>
            </w:r>
          </w:p>
        </w:tc>
        <w:tc>
          <w:p>
            <w:pPr>
              <w:pStyle w:val="Compact"/>
              <w:jc w:val="left"/>
            </w:pPr>
            <w:r>
              <w:t xml:space="preserve">7.7%</w:t>
            </w:r>
          </w:p>
        </w:tc>
        <w:tc>
          <w:p>
            <w:pPr>
              <w:pStyle w:val="Compact"/>
              <w:jc w:val="left"/>
            </w:pPr>
            <w:r>
              <w:t xml:space="preserve">Coherent</w:t>
            </w:r>
          </w:p>
        </w:tc>
      </w:tr>
    </w:tbl>
    <w:p>
      <w:pPr>
        <w:pStyle w:val="BodyText"/>
      </w:pPr>
      <w:r>
        <w:rPr>
          <w:b/>
        </w:rPr>
        <w:t xml:space="preserve">Regional share.</w:t>
      </w:r>
      <w:r>
        <w:t xml:space="preserve"> </w:t>
      </w:r>
      <w:r>
        <w:t xml:space="preserve">North America is largest — 39.3% (Grand View, 2024) vs 44.1% (GMInsights, 2024) (vendors differ ~5 points). Asia-Pacific is the fastest-growing region (~9–10% CAGR); Europe is consistently third.</w:t>
      </w:r>
    </w:p>
    <w:p>
      <w:pPr>
        <w:pStyle w:val="BodyText"/>
      </w:pPr>
      <w:r>
        <w:rPr>
          <w:b/>
        </w:rPr>
        <w:t xml:space="preserve">Growth drivers (consistent across vendors).</w:t>
      </w:r>
      <w:r>
        <w:t xml:space="preserve"> </w:t>
      </w:r>
      <w:r>
        <w:t xml:space="preserve">Nucleic-acid therapeutics — antisense oligonucleotides, siRNA and mRNA — dominate; RNA phosphoramidites are the fastest-growing type; drug discovery is the largest application (GVR press release).</w:t>
      </w:r>
    </w:p>
    <w:p>
      <w:pPr>
        <w:pStyle w:val="BodyText"/>
      </w:pPr>
      <w:r>
        <w:rPr>
          <w:b/>
        </w:rPr>
        <w:t xml:space="preserve">Context — larger adjacent markets (do not conflate).</w:t>
      </w:r>
      <w:r>
        <w:t xml:space="preserve"> </w:t>
      </w:r>
      <w:r>
        <w:t xml:space="preserve">The broader</w:t>
      </w:r>
      <w:r>
        <w:t xml:space="preserve"> </w:t>
      </w:r>
      <w:r>
        <w:t xml:space="preserve">“</w:t>
      </w:r>
      <w:r>
        <w:t xml:space="preserve">oligonucleotide synthesis</w:t>
      </w:r>
      <w:r>
        <w:t xml:space="preserve">”</w:t>
      </w:r>
      <w:r>
        <w:t xml:space="preserve"> </w:t>
      </w:r>
      <w:r>
        <w:t xml:space="preserve">market is quoted anywhere from US$4.05B → $8.83B by 2030 (GVR) to US$24.7B by 2030 (MarketsandMarkets) — an order-of-magnitude gap that reflects scope-definition differences, not a real discrepancy. Use the phosphoramidite-specific figures for this report and cite the adjacent ones only as context.</w:t>
      </w:r>
    </w:p>
    <w:p>
      <w:pPr>
        <w:pStyle w:val="Heading2"/>
      </w:pPr>
      <w:bookmarkStart w:id="28" w:name="X4ba50ff1584134bc0d602282d241fda1de16bbf"/>
      <w:r>
        <w:t xml:space="preserve">6. Regulatory &amp; control status (the monitorability question)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Not export-controlled or scheduled.</w:t>
      </w:r>
      <w:r>
        <w:t xml:space="preserve"> </w:t>
      </w:r>
      <w:r>
        <w:t xml:space="preserve">A targeted search of the Australia Group control lists (chemical-weapon precursors and dual-use bio equipment) and general US Commerce Control List material did not surface nucleoside phosphoramidites as controlled items — they are ordinary research chemicals, distinct from the specific toxic CW precursors the Australia Group lists. Framing note: this is a</w:t>
      </w:r>
      <w:r>
        <w:t xml:space="preserve"> </w:t>
      </w:r>
      <w:r>
        <w:t xml:space="preserve">“</w:t>
      </w:r>
      <w:r>
        <w:t xml:space="preserve">not found on the control lists</w:t>
      </w:r>
      <w:r>
        <w:t xml:space="preserve">”</w:t>
      </w:r>
      <w:r>
        <w:t xml:space="preserve"> </w:t>
      </w:r>
      <w:r>
        <w:t xml:space="preserve">finding, not a formal legal opinion — confirm with an export-control officer before asserting it definitively (see Contacts).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 purchase-side KYC.</w:t>
      </w:r>
      <w:r>
        <w:t xml:space="preserve"> </w:t>
      </w:r>
      <w:r>
        <w:t xml:space="preserve">There is no know-your-customer or licensing requirement to buy phosphoramidites. The screening regime that does exist — IGSC’s Harmonized Protocol and the OSTP Framework — screens the synthesized sequence and the customer of a synthesis order, not the reagent buyer (OSTP Framework, Sept 2024; IBBIS Common Mechanism).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Why governance deliberately avoids reagent controls.</w:t>
      </w:r>
      <w:r>
        <w:t xml:space="preserve"> </w:t>
      </w:r>
      <w:r>
        <w:t xml:space="preserve">Biosecurity policy converges on screening sequences and devices rather than reagents, because restrictions on tangible, ubiquitous dual-use items are easy to circumvent and would burden overwhelmingly legitimate use (Rose et al., 2024,</w:t>
      </w:r>
      <w:r>
        <w:t xml:space="preserve"> </w:t>
      </w:r>
      <w:r>
        <w:rPr>
          <w:i/>
        </w:rPr>
        <w:t xml:space="preserve">Practical Questions for Securing Nucleic Acid Synthesis</w:t>
      </w:r>
      <w:r>
        <w:t xml:space="preserve">; Diggans &amp; Leproust, 2019,</w:t>
      </w:r>
      <w:r>
        <w:t xml:space="preserve"> </w:t>
      </w:r>
      <w:r>
        <w:rPr>
          <w:i/>
        </w:rPr>
        <w:t xml:space="preserve">Next Steps for Access to Safe, Secure DNA Synthesis</w:t>
      </w:r>
      <w:r>
        <w:t xml:space="preserve">; a 2026 risk-based oversight framework, Frontiers in Bioengineering and Biotechnology).</w:t>
      </w:r>
    </w:p>
    <w:p>
      <w:pPr>
        <w:pStyle w:val="Heading2"/>
      </w:pPr>
      <w:bookmarkStart w:id="29" w:name="Xab9dee28d00314c0b2aff43a381b0c2ce0c561a"/>
      <w:r>
        <w:t xml:space="preserve">7. Biosecurity risk /</w:t>
      </w:r>
      <w:r>
        <w:t xml:space="preserve"> </w:t>
      </w:r>
      <w:r>
        <w:t xml:space="preserve">“</w:t>
      </w:r>
      <w:r>
        <w:t xml:space="preserve">how dangerous</w:t>
      </w:r>
      <w:r>
        <w:t xml:space="preserve">”</w:t>
      </w:r>
      <w:r>
        <w:t xml:space="preserve"> </w:t>
      </w:r>
      <w:r>
        <w:t xml:space="preserve">— calibrated</w:t>
      </w:r>
      <w:bookmarkEnd w:id="29"/>
    </w:p>
    <w:p>
      <w:pPr>
        <w:pStyle w:val="FirstParagraph"/>
      </w:pPr>
      <w:r>
        <w:rPr>
          <w:b/>
        </w:rPr>
        <w:t xml:space="preserve">As a misuse-control lever: LOW.</w:t>
      </w:r>
      <w:r>
        <w:t xml:space="preserve"> </w:t>
      </w:r>
      <w:r>
        <w:t xml:space="preserve">Reasons, each evidenced: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Commodity &amp; multi-sourced</w:t>
      </w:r>
      <w:r>
        <w:t xml:space="preserve"> </w:t>
      </w:r>
      <w:r>
        <w:t xml:space="preserve">— several dozen independent global suppliers (~45–60; §4); restricting one is routed around.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Substitutable at the reagent level</w:t>
      </w:r>
      <w:r>
        <w:t xml:space="preserve"> </w:t>
      </w:r>
      <w:r>
        <w:t xml:space="preserve">— phosphoramidites can be synthesized on demand from more stable parent alcohols in flow, near-quantitatively and without purification,</w:t>
      </w:r>
      <w:r>
        <w:t xml:space="preserve"> </w:t>
      </w:r>
      <w:r>
        <w:t xml:space="preserve">“</w:t>
      </w:r>
      <w:r>
        <w:t xml:space="preserve">potentially operated by non-chemists,</w:t>
      </w:r>
      <w:r>
        <w:t xml:space="preserve">”</w:t>
      </w:r>
      <w:r>
        <w:t xml:space="preserve"> </w:t>
      </w:r>
      <w:r>
        <w:t xml:space="preserve">removing the storage/stability barrier that is a reagent supply’s only natural friction (Sandahl, Nguyen, Hansen, Johansen, Skrydstrup &amp; Gothelf, 2021,</w:t>
      </w:r>
      <w:r>
        <w:t xml:space="preserve"> </w:t>
      </w:r>
      <w:r>
        <w:rPr>
          <w:i/>
        </w:rPr>
        <w:t xml:space="preserve">Nat. Commun.</w:t>
      </w:r>
      <w:r>
        <w:t xml:space="preserve"> </w:t>
      </w:r>
      <w:r>
        <w:t xml:space="preserve">12:2760).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Substitutable at the solvent level</w:t>
      </w:r>
      <w:r>
        <w:t xml:space="preserve"> </w:t>
      </w:r>
      <w:r>
        <w:t xml:space="preserve">— the associated solvent (acetonitrile) can be replaced by propylene carbonate, an unregulated GRAS food additive, in DIY synthesis (Kim, Kim &amp; Bang, 2024).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Legitimate demand dwarfs any misuse signal</w:t>
      </w:r>
      <w:r>
        <w:t xml:space="preserve"> </w:t>
      </w:r>
      <w:r>
        <w:t xml:space="preserve">— a ~$1.1B and double-digit-growth market driven by therapeutics/diagnostics/research (§5) means purchase data carries essentially no discriminating signal for misuse.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reagent is not itself hazardous</w:t>
      </w:r>
      <w:r>
        <w:t xml:space="preserve"> </w:t>
      </w:r>
      <w:r>
        <w:t xml:space="preserve">— phosphoramidites are lab chemicals, not toxins or weapons; their only biosecurity relevance is as an enabler of synthesis, and synthesis is better governed downstream (sequence + device).</w:t>
      </w:r>
    </w:p>
    <w:p>
      <w:pPr>
        <w:pStyle w:val="FirstParagraph"/>
      </w:pPr>
      <w:r>
        <w:t xml:space="preserve">This directly corroborates the project’s Chapter 2 conclusion that supply-chain restriction is not a durable control point under either regime.</w:t>
      </w:r>
    </w:p>
    <w:p>
      <w:pPr>
        <w:pStyle w:val="BodyText"/>
      </w:pPr>
      <w:r>
        <w:rPr>
          <w:b/>
        </w:rPr>
        <w:t xml:space="preserve">As a supply-chain-resilience issue: MEDIUM — but a different problem.</w:t>
      </w:r>
      <w:r>
        <w:t xml:space="preserve"> </w:t>
      </w:r>
      <w:r>
        <w:t xml:space="preserve">The bulk/GMP amidite supply is geographically concentrated, with a growing Chinese role. This is why the US has moved to first-shore genetic-medicine and RNA-materials manufacturing — for example ARPA-H’s GIVE program (Genetic medicines and Individualized manufacturing for everyone), which funds automated RNA manufacturing and integrated quality control to on-shore genetic-medicine production (arpa-h.gov) — and why the</w:t>
      </w:r>
      <w:r>
        <w:t xml:space="preserve"> </w:t>
      </w:r>
      <w:r>
        <w:rPr>
          <w:b/>
        </w:rPr>
        <w:t xml:space="preserve">BIOSECURE Act</w:t>
      </w:r>
      <w:r>
        <w:t xml:space="preserve">, enacted as</w:t>
      </w:r>
      <w:r>
        <w:t xml:space="preserve"> </w:t>
      </w:r>
      <w:r>
        <w:rPr>
          <w:b/>
        </w:rPr>
        <w:t xml:space="preserve">Section 851 of the FY2026 National Defense Authorization Act (P.L. 119-60, signed 18 December 2025)</w:t>
      </w:r>
      <w:r>
        <w:t xml:space="preserve">, restricts US federal agencies from contracting with named Chinese</w:t>
      </w:r>
      <w:r>
        <w:t xml:space="preserve"> </w:t>
      </w:r>
      <w:r>
        <w:t xml:space="preserve">“</w:t>
      </w:r>
      <w:r>
        <w:t xml:space="preserve">biotechnology companies of concern.</w:t>
      </w:r>
      <w:r>
        <w:t xml:space="preserve">”</w:t>
      </w:r>
      <w:r>
        <w:t xml:space="preserve"> </w:t>
      </w:r>
      <w:r>
        <w:t xml:space="preserve">Both are economic/drug-security policy, not misuse chokepoints, and should be labelled as such in the thesis so the two risks are not conflated.</w:t>
      </w:r>
    </w:p>
    <w:p>
      <w:pPr>
        <w:pStyle w:val="Heading2"/>
      </w:pPr>
      <w:bookmarkStart w:id="30" w:name="monitoring-feasibility-realistic-options"/>
      <w:r>
        <w:t xml:space="preserve">8. Monitoring feasibility &amp; realistic options</w:t>
      </w:r>
      <w:bookmarkEnd w:id="30"/>
    </w:p>
    <w:p>
      <w:pPr>
        <w:pStyle w:val="FirstParagraph"/>
      </w:pPr>
      <w:r>
        <w:t xml:space="preserve">Given §6–7, monitoring who buys phosphoramidites is largely infeasible and low-value as a biosecurity measure: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What would be required:</w:t>
      </w:r>
      <w:r>
        <w:t xml:space="preserve"> </w:t>
      </w:r>
      <w:r>
        <w:t xml:space="preserve">a KYC/registration regime on reagent sales (none exists), harmonised internationally (or buyers shift to foreign suppliers), covering both finished amidites and the parent alcohols/precursors (or the on-demand synthesis routes around them). The cost/burden falls almost entirely on legitimate users.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Why it fails:</w:t>
      </w:r>
      <w:r>
        <w:t xml:space="preserve"> </w:t>
      </w:r>
      <w:r>
        <w:t xml:space="preserve">the same substitutability and legitimate-demand arguments in §7; a reagent-purchase signal cannot distinguish a benign lab from a misuse actor.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Where monitoring is tractable and already the focus:</w:t>
      </w:r>
      <w:r>
        <w:t xml:space="preserve"> </w:t>
      </w:r>
      <w:r>
        <w:t xml:space="preserve">the synthesis order (sequence + customer screening, IGSC/OSTP), the device (on-device screening for benchtop synthesizers), and post-hoc attribution (this project’s Chapter 4). Reagent monitoring, if pursued at all, is a distant fourth and mainly useful for supply-chain resilience (mapping dependency on Chinese bulk suppliers), not misuse detection.</w:t>
      </w:r>
    </w:p>
    <w:p>
      <w:pPr>
        <w:pStyle w:val="FirstParagraph"/>
      </w:pPr>
      <w:r>
        <w:rPr>
          <w:b/>
        </w:rPr>
        <w:t xml:space="preserve">Recommended framing for the thesis:</w:t>
      </w:r>
      <w:r>
        <w:t xml:space="preserve"> </w:t>
      </w:r>
      <w:r>
        <w:t xml:space="preserve">treat phosphoramidite supply as (a) confirming the</w:t>
      </w:r>
      <w:r>
        <w:t xml:space="preserve"> </w:t>
      </w:r>
      <w:r>
        <w:t xml:space="preserve">“</w:t>
      </w:r>
      <w:r>
        <w:t xml:space="preserve">reagent restriction is not durable</w:t>
      </w:r>
      <w:r>
        <w:t xml:space="preserve">”</w:t>
      </w:r>
      <w:r>
        <w:t xml:space="preserve"> </w:t>
      </w:r>
      <w:r>
        <w:t xml:space="preserve">finding, and (b) a separate resilience/economic-security note about Chinese bulk concentration — explicitly not a monitorable misuse chokepoint.</w:t>
      </w:r>
    </w:p>
    <w:p>
      <w:pPr>
        <w:pStyle w:val="Heading2"/>
      </w:pPr>
      <w:bookmarkStart w:id="31" w:name="contacts-where-to-dig-further"/>
      <w:r>
        <w:t xml:space="preserve">9. Contacts / where to dig further</w:t>
      </w:r>
      <w:bookmarkEnd w:id="31"/>
    </w:p>
    <w:p>
      <w:pPr>
        <w:pStyle w:val="FirstParagraph"/>
      </w:pPr>
      <w:r>
        <w:t xml:space="preserve">For figures that are not public (production volumes, buyer lists, real diversion data, licensed market data):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IBBIS</w:t>
      </w:r>
      <w:r>
        <w:t xml:space="preserve"> </w:t>
      </w:r>
      <w:r>
        <w:t xml:space="preserve">— International Biosecurity and Biosafety Initiative for Science (Piers Millett, Exec. Dir.) — authoritative on why governance screens sequences/devices not reagents; your infohazard-review body. ibbis.bio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NTI | bio</w:t>
      </w:r>
      <w:r>
        <w:t xml:space="preserve"> </w:t>
      </w:r>
      <w:r>
        <w:t xml:space="preserve">(Nuclear Threat Initiative) — benchtop-synthesis and supply-chain governance reports; original convenor of the DNA-synthesis screening consortium. nti.org/about/biosecurity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Rob Carlson</w:t>
      </w:r>
      <w:r>
        <w:t xml:space="preserve"> </w:t>
      </w:r>
      <w:r>
        <w:t xml:space="preserve">— synthesis.cc / Planetary Technologies — the authority on DNA-synthesis cost and market trajectories; for reconciling the vendor market-size spread in §5. synthesis.cc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Prof. Kurt V. Gothelf</w:t>
      </w:r>
      <w:r>
        <w:t xml:space="preserve"> </w:t>
      </w:r>
      <w:r>
        <w:t xml:space="preserve">— Aarhus University (iNANO) — senior author of the on-demand phosphoramidite-synthesis paper (§7); the person to ask on how far reagent substitutability has advanced. chem.au.dk/en/kvg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Market-research firms</w:t>
      </w:r>
      <w:r>
        <w:t xml:space="preserve"> </w:t>
      </w:r>
      <w:r>
        <w:t xml:space="preserve">(Grand View Research, Mordor Intelligence, Coherent Market Insights, GMInsights) — hold the licensed, full market data behind the paywalled summaries; the source for verifying the top-6 concentration and regional shares.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ISPE / the oligonucleotide-manufacturing community and the TIDES conference</w:t>
      </w:r>
      <w:r>
        <w:t xml:space="preserve"> </w:t>
      </w:r>
      <w:r>
        <w:t xml:space="preserve">— for real bulk/GMP capacity data and the upstream-vs-formulation concentration question (§3). ispe.org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ARPA-H</w:t>
      </w:r>
      <w:r>
        <w:t xml:space="preserve"> </w:t>
      </w:r>
      <w:r>
        <w:t xml:space="preserve">— to characterise US first-shoring of genetic-medicine/RNA-materials manufacturing (the GIVE program) and any amidite-specific supply work. arpa-h.gov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An institutional export-control officer / BIS</w:t>
      </w:r>
      <w:r>
        <w:t xml:space="preserve"> </w:t>
      </w:r>
      <w:r>
        <w:t xml:space="preserve">(US Bureau of Industry and Security) — to obtain a formal statement that phosphoramidites are not on the CCL/Australia Group lists (§6), rather than relying on a</w:t>
      </w:r>
      <w:r>
        <w:t xml:space="preserve"> </w:t>
      </w:r>
      <w:r>
        <w:t xml:space="preserve">“</w:t>
      </w:r>
      <w:r>
        <w:t xml:space="preserve">not found in search</w:t>
      </w:r>
      <w:r>
        <w:t xml:space="preserve">”</w:t>
      </w:r>
      <w:r>
        <w:t xml:space="preserve"> </w:t>
      </w:r>
      <w:r>
        <w:t xml:space="preserve">result.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Hongene Biotech, WuXi STA, Nitto Avecia</w:t>
      </w:r>
      <w:r>
        <w:t xml:space="preserve"> </w:t>
      </w:r>
      <w:r>
        <w:t xml:space="preserve">(investor-relations/press) — for company-confirmed capacity numbers beyond the one verified figure (Hongene 58 t/yr).</w:t>
      </w:r>
    </w:p>
    <w:p>
      <w:pPr>
        <w:pStyle w:val="Heading2"/>
      </w:pPr>
      <w:bookmarkStart w:id="32" w:name="references"/>
      <w:r>
        <w:t xml:space="preserve">10. References</w:t>
      </w:r>
      <w:bookmarkEnd w:id="32"/>
    </w:p>
    <w:p>
      <w:pPr>
        <w:pStyle w:val="FirstParagraph"/>
      </w:pPr>
      <w:r>
        <w:rPr>
          <w:b/>
        </w:rPr>
        <w:t xml:space="preserve">Peer-reviewed / primary</w:t>
      </w:r>
      <w:r>
        <w:t xml:space="preserve"> </w:t>
      </w:r>
      <w:r>
        <w:t xml:space="preserve">- Sandahl, A. F., Nguyen, T. J. D., Hansen, R. A., Johansen, M. B., Skrydstrup, T., &amp; Gothelf, K. V. (2021). On-demand synthesis of phosphoramidites.</w:t>
      </w:r>
      <w:r>
        <w:t xml:space="preserve"> </w:t>
      </w:r>
      <w:r>
        <w:rPr>
          <w:i/>
        </w:rPr>
        <w:t xml:space="preserve">Nature Communications</w:t>
      </w:r>
      <w:r>
        <w:t xml:space="preserve">, 12, 2760. https://doi.org/10.1038/s41467-021-22945-z</w:t>
      </w:r>
      <w:r>
        <w:t xml:space="preserve"> </w:t>
      </w:r>
      <w:r>
        <w:t xml:space="preserve">- Kim, J., Kim, H., &amp; Bang, D. (2024). An open-source, 3D printed inkjet DNA synthesizer.</w:t>
      </w:r>
      <w:r>
        <w:t xml:space="preserve"> </w:t>
      </w:r>
      <w:r>
        <w:rPr>
          <w:i/>
        </w:rPr>
        <w:t xml:space="preserve">Scientific Reports</w:t>
      </w:r>
      <w:r>
        <w:t xml:space="preserve">, 14, 3773. https://doi.org/10.1038/s41598-024-53944-x</w:t>
      </w:r>
      <w:r>
        <w:t xml:space="preserve"> </w:t>
      </w:r>
      <w:r>
        <w:t xml:space="preserve">- Rose, S., Alexanian, T., Langenkamp, M., Cozzarini, H., &amp; Diggans, J. (2024). Practical Questions for Securing Nucleic Acid Synthesis.</w:t>
      </w:r>
      <w:r>
        <w:t xml:space="preserve"> </w:t>
      </w:r>
      <w:r>
        <w:rPr>
          <w:i/>
        </w:rPr>
        <w:t xml:space="preserve">Applied Biosafety</w:t>
      </w:r>
      <w:r>
        <w:t xml:space="preserve">. https://doi.org/10.1089/apb.2023.0028</w:t>
      </w:r>
      <w:r>
        <w:t xml:space="preserve"> </w:t>
      </w:r>
      <w:r>
        <w:t xml:space="preserve">- Diggans, J., &amp; Leproust, E. (2019). Next Steps for Access to Safe, Secure DNA Synthesis.</w:t>
      </w:r>
      <w:r>
        <w:t xml:space="preserve"> </w:t>
      </w:r>
      <w:r>
        <w:rPr>
          <w:i/>
        </w:rPr>
        <w:t xml:space="preserve">Frontiers in Bioengineering and Biotechnology</w:t>
      </w:r>
      <w:r>
        <w:t xml:space="preserve">, 7, 86. https://doi.org/10.3389/fbioe.2019.00086</w:t>
      </w:r>
      <w:r>
        <w:t xml:space="preserve"> </w:t>
      </w:r>
      <w:r>
        <w:t xml:space="preserve">- A risk-based framework to guide oversight of nucleic acid constructs (2026).</w:t>
      </w:r>
      <w:r>
        <w:t xml:space="preserve"> </w:t>
      </w:r>
      <w:r>
        <w:rPr>
          <w:i/>
        </w:rPr>
        <w:t xml:space="preserve">Frontiers in Bioengineering and Biotechnology</w:t>
      </w:r>
      <w:r>
        <w:t xml:space="preserve">. https://doi.org/10.3389/fbioe.2026.1870125</w:t>
      </w:r>
    </w:p>
    <w:p>
      <w:pPr>
        <w:pStyle w:val="BodyText"/>
      </w:pPr>
      <w:r>
        <w:rPr>
          <w:b/>
        </w:rPr>
        <w:t xml:space="preserve">Policy / governance</w:t>
      </w:r>
      <w:r>
        <w:t xml:space="preserve"> </w:t>
      </w:r>
      <w:r>
        <w:t xml:space="preserve">- OSTP (2024). Framework for Nucleic Acid Synthesis Screening. https://aspr.hhs.gov/S3/</w:t>
      </w:r>
      <w:r>
        <w:t xml:space="preserve"> </w:t>
      </w:r>
      <w:r>
        <w:t xml:space="preserve">- IBBIS — Common Mechanism for DNA Synthesis Screening. https://ibbis.bio/our-work/common-mechanism/</w:t>
      </w:r>
      <w:r>
        <w:t xml:space="preserve"> </w:t>
      </w:r>
      <w:r>
        <w:t xml:space="preserve">- The Australia Group — Chemical Weapons Precursor control list. https://www.dfat.gov.au/publications/minisite/theaustraliagroupnet/site/en/precursors.html</w:t>
      </w:r>
      <w:r>
        <w:t xml:space="preserve"> </w:t>
      </w:r>
      <w:r>
        <w:t xml:space="preserve">- BIOSECURE Act — enacted as §851 of the FY2026 National Defense Authorization Act (P.L. 119-60), signed 18 December 2025.</w:t>
      </w:r>
      <w:r>
        <w:t xml:space="preserve"> </w:t>
      </w:r>
      <w:r>
        <w:t xml:space="preserve">- ARPA-H — GIVE program (Genetic medicines and Individualized manufacturing for everyone). https://arpa-h.gov/explore-funding/programs/give</w:t>
      </w:r>
    </w:p>
    <w:p>
      <w:pPr>
        <w:pStyle w:val="BodyText"/>
      </w:pPr>
      <w:r>
        <w:rPr>
          <w:b/>
        </w:rPr>
        <w:t xml:space="preserve">Company / industry</w:t>
      </w:r>
      <w:r>
        <w:t xml:space="preserve"> </w:t>
      </w:r>
      <w:r>
        <w:t xml:space="preserve">- Hongene Biotech — Phosphoramidite capacity (58 t/yr). https://www.hongene.com/news/hongene-expands-phosphoramidite-production-capability-to-58-t</w:t>
      </w:r>
      <w:r>
        <w:t xml:space="preserve"> </w:t>
      </w:r>
      <w:r>
        <w:t xml:space="preserve">- Glen Research; ChemGenes; LGC Biosearch Technologies; Thermo Fisher (Phosphoramidites); Nitto Denko / Avecia (~$226M expansion, Fierce Pharma); Ajinomoto / GeneDesign; ISPE (oligonucleotide manufacturing, 2025); CRB (best practices in oligonucleotide manufacturing).</w:t>
      </w:r>
      <w:r>
        <w:t xml:space="preserve"> </w:t>
      </w:r>
      <w:r>
        <w:t xml:space="preserve">- Chinese-language sources (supplier census): Shanghai Zhaowei Technology (兆维科技, zhihu.com/p/525287912); Tangzhi Pharmaceutical FDA-DMF filing (糖智药业, bydrug.pharmcube.com); PHIRDA — China is the largest exporter of nucleic-acid raw materials (phirda.com/artilce_29089); Huaren Science (huarenscience.com); Asymchem oligonucleotides (asymchem.com).</w:t>
      </w:r>
    </w:p>
    <w:p>
      <w:pPr>
        <w:pStyle w:val="BodyText"/>
      </w:pPr>
      <w:r>
        <w:rPr>
          <w:b/>
        </w:rPr>
        <w:t xml:space="preserve">Market research (vendor estimates — figures disagree; see §5)</w:t>
      </w:r>
      <w:r>
        <w:t xml:space="preserve"> </w:t>
      </w:r>
      <w:r>
        <w:t xml:space="preserve">- Grand View Research; Mordor Intelligence; GMInsights; Coherent Market Insights; Emergen Research; Astute Analytica.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Verification note (this revision): the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Practical Questions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citation was corrected to Rose et al. 2024; the BIOSECURE Act status was confirmed (enacted §851, FY2026 NDAA, 18 Dec 2025); Lumiprobe (Maryland, US) and PolyOrg (Massachusetts, US) HQs were confirmed; and two figures that could not be verified against a primary source — an ARPA-H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$1.5B / $320M amidite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line and an APAC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24.9% / $285.2M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share — were removed. Remaining market-size figures are attributed vendor estimates shown as a spread.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2026-07-27T15:28:00Z</dcterms:created>
  <dcterms:modified xsi:type="dcterms:W3CDTF">2026-07-27T15:28:00Z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