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5c402b772c9189e5fb4abe29f2d9d9c6392fcc"/>
      <w:r>
        <w:t xml:space="preserve">The Phosphoramidite Supply Chain — A Biosecurity Monitorability &amp; Control-Point Assessment</w:t>
      </w:r>
      <w:bookmarkEnd w:id="20"/>
    </w:p>
    <w:p>
      <w:pPr>
        <w:pStyle w:val="FirstParagraph"/>
      </w:pPr>
      <w:r>
        <w:rPr>
          <w:i/>
        </w:rPr>
        <w:t xml:space="preserve">Prepared for the</w:t>
      </w:r>
      <w:r>
        <w:rPr>
          <w:i/>
        </w:rPr>
        <w:t xml:space="preserve"> </w:t>
      </w:r>
      <w:r>
        <w:rPr>
          <w:i/>
        </w:rPr>
        <w:t xml:space="preserve">“</w:t>
      </w:r>
      <w:r>
        <w:rPr>
          <w:i/>
        </w:rPr>
        <w:t xml:space="preserve">DNA Synthesis Screening Under Device Proliferation</w:t>
      </w:r>
      <w:r>
        <w:rPr>
          <w:i/>
        </w:rPr>
        <w:t xml:space="preserve">”</w:t>
      </w:r>
      <w:r>
        <w:rPr>
          <w:i/>
        </w:rPr>
        <w:t xml:space="preserve"> </w:t>
      </w:r>
      <w:r>
        <w:rPr>
          <w:i/>
        </w:rPr>
        <w:t xml:space="preserve">project · defensive governance analysis · no synthesis procedures included</w:t>
      </w:r>
    </w:p>
    <w:p>
      <w:pPr>
        <w:pStyle w:val="BodyText"/>
      </w:pPr>
      <w:r>
        <w:rPr>
          <w:b/>
        </w:rPr>
        <w:t xml:space="preserve">How to read this document.</w:t>
      </w:r>
      <w:r>
        <w:t xml:space="preserve"> </w:t>
      </w:r>
      <w:r>
        <w:t xml:space="preserve">Every quantitative claim is attributed to a named source. Market-size figures are commercial market-research estimates that disagree with one another; they are shown as a spread, not a consensus. Claims that could not be verified against a primary source are marked</w:t>
      </w:r>
      <w:r>
        <w:t xml:space="preserve"> </w:t>
      </w:r>
      <w:r>
        <w:rPr>
          <w:b/>
        </w:rPr>
        <w:t xml:space="preserve">[UNVERIFIED]</w:t>
      </w:r>
      <w:r>
        <w:t xml:space="preserve"> </w:t>
      </w:r>
      <w:r>
        <w:t xml:space="preserve">with a note on who to ask. A</w:t>
      </w:r>
      <w:r>
        <w:t xml:space="preserve"> </w:t>
      </w:r>
      <w:r>
        <w:t xml:space="preserve">“</w:t>
      </w:r>
      <w:r>
        <w:t xml:space="preserve">Contacts / where to dig further</w:t>
      </w:r>
      <w:r>
        <w:t xml:space="preserve">”</w:t>
      </w:r>
      <w:r>
        <w:t xml:space="preserve"> </w:t>
      </w:r>
      <w:r>
        <w:t xml:space="preserve">section lists the people and organisations to approach for the numbers that are not public.</w:t>
      </w:r>
    </w:p>
    <w:p>
      <w:r>
        <w:pict>
          <v:rect style="width:0;height:1.5pt" o:hralign="center" o:hrstd="t" o:hr="t"/>
        </w:pict>
      </w:r>
    </w:p>
    <w:p>
      <w:pPr>
        <w:pStyle w:val="Heading2"/>
      </w:pPr>
      <w:bookmarkStart w:id="21" w:name="bottom-line"/>
      <w:r>
        <w:t xml:space="preserve">1. Bottom line</w:t>
      </w:r>
      <w:bookmarkEnd w:id="21"/>
    </w:p>
    <w:p>
      <w:pPr>
        <w:pStyle w:val="FirstParagraph"/>
      </w:pPr>
      <w:r>
        <w:t xml:space="preserve">Phosphoramidites are the commodity nucleoside</w:t>
      </w:r>
      <w:r>
        <w:t xml:space="preserve"> </w:t>
      </w:r>
      <w:r>
        <w:t xml:space="preserve">“</w:t>
      </w:r>
      <w:r>
        <w:t xml:space="preserve">building blocks</w:t>
      </w:r>
      <w:r>
        <w:t xml:space="preserve">”</w:t>
      </w:r>
      <w:r>
        <w:t xml:space="preserve"> </w:t>
      </w:r>
      <w:r>
        <w:t xml:space="preserve">of chemical DNA synthesis. For biosecurity purposes the assessment is two-sided and must be kept separate:</w:t>
      </w:r>
    </w:p>
    <w:p>
      <w:pPr>
        <w:numPr>
          <w:ilvl w:val="0"/>
          <w:numId w:val="1001"/>
        </w:numPr>
        <w:pStyle w:val="Compact"/>
      </w:pPr>
      <w:r>
        <w:rPr>
          <w:b/>
        </w:rPr>
        <w:t xml:space="preserve">As a control lever, the danger is LOW.</w:t>
      </w:r>
      <w:r>
        <w:t xml:space="preserve"> </w:t>
      </w:r>
      <w:r>
        <w:t xml:space="preserve">Phosphoramidites are ordinary, unscheduled research chemicals sold by ~a dozen suppliers across the US, Europe and Asia; they are not export-controlled or subject to any purchase (KYC) requirement; and they are chemically</w:t>
      </w:r>
      <w:r>
        <w:t xml:space="preserve"> </w:t>
      </w:r>
      <w:r>
        <w:rPr>
          <w:i/>
        </w:rPr>
        <w:t xml:space="preserve">substitutable</w:t>
      </w:r>
      <w:r>
        <w:t xml:space="preserve"> </w:t>
      </w:r>
      <w:r>
        <w:t xml:space="preserve">— they can even be made on demand from more stable precursors (</w:t>
      </w:r>
      <w:hyperlink r:id="rId22">
        <w:r>
          <w:rPr>
            <w:rStyle w:val="Hyperlink"/>
          </w:rPr>
          <w:t xml:space="preserve">Sandahl et al., 2021,</w:t>
        </w:r>
        <w:r>
          <w:rPr>
            <w:rStyle w:val="Hyperlink"/>
          </w:rPr>
          <w:t xml:space="preserve"> </w:t>
        </w:r>
        <w:r>
          <w:rPr>
            <w:rStyle w:val="Hyperlink"/>
            <w:i/>
          </w:rPr>
          <w:t xml:space="preserve">Nature Communications</w:t>
        </w:r>
      </w:hyperlink>
      <w:r>
        <w:t xml:space="preserve">) and used with unregulated solvent substitutes (</w:t>
      </w:r>
      <w:hyperlink r:id="rId23">
        <w:r>
          <w:rPr>
            <w:rStyle w:val="Hyperlink"/>
          </w:rPr>
          <w:t xml:space="preserve">Kim, Kim &amp; Bang, 2024,</w:t>
        </w:r>
        <w:r>
          <w:rPr>
            <w:rStyle w:val="Hyperlink"/>
          </w:rPr>
          <w:t xml:space="preserve"> </w:t>
        </w:r>
        <w:r>
          <w:rPr>
            <w:rStyle w:val="Hyperlink"/>
            <w:i/>
          </w:rPr>
          <w:t xml:space="preserve">Sci. Rep.</w:t>
        </w:r>
        <w:r>
          <w:rPr>
            <w:rStyle w:val="Hyperlink"/>
          </w:rPr>
          <w:t xml:space="preserve"> </w:t>
        </w:r>
        <w:r>
          <w:rPr>
            <w:rStyle w:val="Hyperlink"/>
          </w:rPr>
          <w:t xml:space="preserve">14:3773</w:t>
        </w:r>
      </w:hyperlink>
      <w:r>
        <w:t xml:space="preserve">). Restricting or monitoring them is therefore</w:t>
      </w:r>
      <w:r>
        <w:t xml:space="preserve"> </w:t>
      </w:r>
      <w:r>
        <w:rPr>
          <w:b/>
        </w:rPr>
        <w:t xml:space="preserve">not a durable control point</w:t>
      </w:r>
      <w:r>
        <w:t xml:space="preserve"> </w:t>
      </w:r>
      <w:r>
        <w:t xml:space="preserve">— consistent with this project’s Chapter 2 finding and with how NTI/IBBIS/OSTP actually govern synthesis (they screen</w:t>
      </w:r>
      <w:r>
        <w:t xml:space="preserve"> </w:t>
      </w:r>
      <w:r>
        <w:rPr>
          <w:i/>
        </w:rPr>
        <w:t xml:space="preserve">sequences</w:t>
      </w:r>
      <w:r>
        <w:t xml:space="preserve"> </w:t>
      </w:r>
      <w:r>
        <w:t xml:space="preserve">and</w:t>
      </w:r>
      <w:r>
        <w:t xml:space="preserve"> </w:t>
      </w:r>
      <w:r>
        <w:rPr>
          <w:i/>
        </w:rPr>
        <w:t xml:space="preserve">devices</w:t>
      </w:r>
      <w:r>
        <w:t xml:space="preserve">, not reagents).</w:t>
      </w:r>
    </w:p>
    <w:p>
      <w:pPr>
        <w:numPr>
          <w:ilvl w:val="0"/>
          <w:numId w:val="1001"/>
        </w:numPr>
        <w:pStyle w:val="Compact"/>
      </w:pPr>
      <w:r>
        <w:rPr>
          <w:b/>
        </w:rPr>
        <w:t xml:space="preserve">As a supply-chain-</w:t>
      </w:r>
      <w:r>
        <w:rPr>
          <w:i/>
          <w:b/>
        </w:rPr>
        <w:t xml:space="preserve">resilience</w:t>
      </w:r>
      <w:r>
        <w:rPr>
          <w:b/>
        </w:rPr>
        <w:t xml:space="preserve"> </w:t>
      </w:r>
      <w:r>
        <w:rPr>
          <w:b/>
        </w:rPr>
        <w:t xml:space="preserve">question, the concentration is real but is an economic/geopolitical issue, not a misuse chokepoint.</w:t>
      </w:r>
      <w:r>
        <w:t xml:space="preserve"> </w:t>
      </w:r>
      <w:r>
        <w:t xml:space="preserve">High-purity amidites and their upstream precursors come from a limited number of firms, with a growing bulk role in China (notably Hongene Biotech), which is why the US has begun reshoring the amidite supply and why the BIOSECURE Act touches this space. That matters for drug-supply security, not for whether a bad actor can obtain reagents.</w:t>
      </w:r>
    </w:p>
    <w:p>
      <w:pPr>
        <w:pStyle w:val="FirstParagraph"/>
      </w:pPr>
      <w:r>
        <w:t xml:space="preserve">In one line:</w:t>
      </w:r>
      <w:r>
        <w:t xml:space="preserve"> </w:t>
      </w:r>
      <w:r>
        <w:rPr>
          <w:b/>
        </w:rPr>
        <w:t xml:space="preserve">you cannot secure DNA synthesis by controlling phosphoramidites — the reagent is too commodity, too substitutable, and swamped by legitimate demand; control belongs at the sequence and the device.</w:t>
      </w:r>
    </w:p>
    <w:p>
      <w:r>
        <w:pict>
          <v:rect style="width:0;height:1.5pt" o:hralign="center" o:hrstd="t" o:hr="t"/>
        </w:pict>
      </w:r>
    </w:p>
    <w:p>
      <w:pPr>
        <w:pStyle w:val="Heading2"/>
      </w:pPr>
      <w:bookmarkStart w:id="24" w:name="what-a-phosphoramidite-is-non-procedural"/>
      <w:r>
        <w:t xml:space="preserve">2. What a phosphoramidite is (non-procedural)</w:t>
      </w:r>
      <w:bookmarkEnd w:id="24"/>
    </w:p>
    <w:p>
      <w:pPr>
        <w:pStyle w:val="FirstParagraph"/>
      </w:pPr>
      <w:r>
        <w:t xml:space="preserve">A nucleoside phosphoramidite is a chemically</w:t>
      </w:r>
      <w:r>
        <w:t xml:space="preserve"> </w:t>
      </w:r>
      <w:r>
        <w:t xml:space="preserve">“</w:t>
      </w:r>
      <w:r>
        <w:t xml:space="preserve">activated,</w:t>
      </w:r>
      <w:r>
        <w:t xml:space="preserve">”</w:t>
      </w:r>
      <w:r>
        <w:t xml:space="preserve"> </w:t>
      </w:r>
      <w:r>
        <w:t xml:space="preserve">protected form of one of the four DNA (or RNA) building blocks, used in automated solid-phase oligonucleotide synthesis (</w:t>
      </w:r>
      <w:hyperlink r:id="rId25">
        <w:r>
          <w:rPr>
            <w:rStyle w:val="Hyperlink"/>
          </w:rPr>
          <w:t xml:space="preserve">Nucleoside phosphoramidite — Wikipedia</w:t>
        </w:r>
      </w:hyperlink>
      <w:r>
        <w:t xml:space="preserve">). Each amidite carries a</w:t>
      </w:r>
      <w:r>
        <w:t xml:space="preserve"> </w:t>
      </w:r>
      <w:r>
        <w:rPr>
          <w:b/>
        </w:rPr>
        <w:t xml:space="preserve">5′-dimethoxytrityl (DMT) protecting group</w:t>
      </w:r>
      <w:r>
        <w:t xml:space="preserve"> </w:t>
      </w:r>
      <w:r>
        <w:t xml:space="preserve">and a reactive phosphite group; it is produced by reacting a protected nucleoside with a</w:t>
      </w:r>
      <w:r>
        <w:t xml:space="preserve"> </w:t>
      </w:r>
      <w:r>
        <w:rPr>
          <w:b/>
        </w:rPr>
        <w:t xml:space="preserve">phosphitylation reagent</w:t>
      </w:r>
      <w:r>
        <w:t xml:space="preserve"> </w:t>
      </w:r>
      <w:r>
        <w:t xml:space="preserve">(2-cyanoethyl</w:t>
      </w:r>
      <w:r>
        <w:t xml:space="preserve"> </w:t>
      </w:r>
      <w:r>
        <w:rPr>
          <w:i/>
        </w:rPr>
        <w:t xml:space="preserve">N,N</w:t>
      </w:r>
      <w:r>
        <w:t xml:space="preserve">-diisopropyl</w:t>
      </w:r>
      <w:r>
        <w:softHyphen/>
      </w:r>
      <w:r>
        <w:t xml:space="preserve">chlorophosphoramidite / bis-amidite type) (</w:t>
      </w:r>
      <w:hyperlink r:id="rId26">
        <w:r>
          <w:rPr>
            <w:rStyle w:val="Hyperlink"/>
          </w:rPr>
          <w:t xml:space="preserve">Danaher Life Sciences — Oligonucleotide Synthesis</w:t>
        </w:r>
      </w:hyperlink>
      <w:r>
        <w:t xml:space="preserve">). The four standard DNA amidites (dA, dC, dG, dT), plus modified/RNA amidites, are catalog items.</w:t>
      </w:r>
    </w:p>
    <w:p>
      <w:r>
        <w:pict>
          <v:rect style="width:0;height:1.5pt" o:hralign="center" o:hrstd="t" o:hr="t"/>
        </w:pict>
      </w:r>
    </w:p>
    <w:p>
      <w:pPr>
        <w:pStyle w:val="Heading2"/>
      </w:pPr>
      <w:bookmarkStart w:id="27" w:name="X9019eeb5ea514d24773c2b11943f531f3cc76d5"/>
      <w:r>
        <w:t xml:space="preserve">3. Supply-chain structure and where the chokepoints are</w:t>
      </w:r>
      <w:bookmarkEnd w:id="27"/>
    </w:p>
    <w:p>
      <w:pPr>
        <w:pStyle w:val="FirstParagraph"/>
      </w:pPr>
      <w:r>
        <w:rPr>
          <w:b/>
        </w:rPr>
        <w:t xml:space="preserve">The chain, upstream → downstream:</w:t>
      </w:r>
    </w:p>
    <w:p>
      <w:pPr>
        <w:numPr>
          <w:ilvl w:val="0"/>
          <w:numId w:val="1002"/>
        </w:numPr>
        <w:pStyle w:val="Compact"/>
      </w:pPr>
      <w:r>
        <w:rPr>
          <w:b/>
        </w:rPr>
        <w:t xml:space="preserve">Raw/upstream inputs</w:t>
      </w:r>
      <w:r>
        <w:t xml:space="preserve"> </w:t>
      </w:r>
      <w:r>
        <w:t xml:space="preserve">— protected nucleosides (</w:t>
      </w:r>
      <w:r>
        <w:t xml:space="preserve">“</w:t>
      </w:r>
      <w:r>
        <w:t xml:space="preserve">PNS</w:t>
      </w:r>
      <w:r>
        <w:t xml:space="preserve">”</w:t>
      </w:r>
      <w:r>
        <w:t xml:space="preserve">), specialty protecting-group and phosphitylation reagents, controlled-pore-glass (CPG) solid supports.</w:t>
      </w:r>
    </w:p>
    <w:p>
      <w:pPr>
        <w:numPr>
          <w:ilvl w:val="0"/>
          <w:numId w:val="1002"/>
        </w:numPr>
        <w:pStyle w:val="Compact"/>
      </w:pPr>
      <w:r>
        <w:rPr>
          <w:b/>
        </w:rPr>
        <w:t xml:space="preserve">Amidite manufacturers/formulators</w:t>
      </w:r>
      <w:r>
        <w:t xml:space="preserve"> </w:t>
      </w:r>
      <w:r>
        <w:t xml:space="preserve">— convert protected nucleosides into finished phosphoramidites (research-grade and GMP-grade).</w:t>
      </w:r>
    </w:p>
    <w:p>
      <w:pPr>
        <w:numPr>
          <w:ilvl w:val="0"/>
          <w:numId w:val="1002"/>
        </w:numPr>
        <w:pStyle w:val="Compact"/>
      </w:pPr>
      <w:r>
        <w:rPr>
          <w:b/>
        </w:rPr>
        <w:t xml:space="preserve">Distributors / catalog suppliers</w:t>
      </w:r>
      <w:r>
        <w:t xml:space="preserve"> </w:t>
      </w:r>
      <w:r>
        <w:t xml:space="preserve">— sell to end users, each shipment with a Certificate of Analysis.</w:t>
      </w:r>
    </w:p>
    <w:p>
      <w:pPr>
        <w:numPr>
          <w:ilvl w:val="0"/>
          <w:numId w:val="1002"/>
        </w:numPr>
        <w:pStyle w:val="Compact"/>
      </w:pPr>
      <w:r>
        <w:rPr>
          <w:b/>
        </w:rPr>
        <w:t xml:space="preserve">End users</w:t>
      </w:r>
      <w:r>
        <w:t xml:space="preserve"> </w:t>
      </w:r>
      <w:r>
        <w:t xml:space="preserve">— (a) commercial gene-synthesis providers; (b) benchtop/DIY synthesizers; (c) therapeutic-oligonucleotide (ASO/siRNA/mRNA) manufacturers, now the dominant demand pull.</w:t>
      </w:r>
    </w:p>
    <w:p>
      <w:pPr>
        <w:pStyle w:val="FirstParagraph"/>
      </w:pPr>
      <w:r>
        <w:rPr>
          <w:b/>
        </w:rPr>
        <w:t xml:space="preserve">Chokepoint analysis:</w:t>
      </w:r>
    </w:p>
    <w:p>
      <w:pPr>
        <w:numPr>
          <w:ilvl w:val="0"/>
          <w:numId w:val="1003"/>
        </w:numPr>
        <w:pStyle w:val="Compact"/>
      </w:pPr>
      <w:r>
        <w:rPr>
          <w:b/>
        </w:rPr>
        <w:t xml:space="preserve">No single firm or country is a monopoly chokepoint.</w:t>
      </w:r>
      <w:r>
        <w:t xml:space="preserve"> </w:t>
      </w:r>
      <w:r>
        <w:t xml:space="preserve">Research-grade amidites are multi-sourced across the US (Glen Research, ChemGenes, TriLink, Thermo Fisher), Europe (Merck/Germany, LGC/UK–Denmark, Biosynth/Switzerland) and Asia (Hongene/China; Kaneka, Nitto, Ajinomoto/Japan). The right description is</w:t>
      </w:r>
      <w:r>
        <w:t xml:space="preserve"> </w:t>
      </w:r>
      <w:r>
        <w:rPr>
          <w:i/>
        </w:rPr>
        <w:t xml:space="preserve">tier-and-region concentration</w:t>
      </w:r>
      <w:r>
        <w:t xml:space="preserve">, not a single point of failure (analytical synthesis of the supplier claims in §4).</w:t>
      </w:r>
    </w:p>
    <w:p>
      <w:pPr>
        <w:numPr>
          <w:ilvl w:val="0"/>
          <w:numId w:val="1003"/>
        </w:numPr>
        <w:pStyle w:val="Compact"/>
      </w:pPr>
      <w:r>
        <w:rPr>
          <w:b/>
        </w:rPr>
        <w:t xml:space="preserve">The genuine concentration is upstream and at bulk/GMP scale.</w:t>
      </w:r>
      <w:r>
        <w:t xml:space="preserve"> </w:t>
      </w:r>
      <w:r>
        <w:t xml:space="preserve">Industry-engineering sources describe high-purity nucleoside phosphoramidites as critical raw materials produced by a</w:t>
      </w:r>
      <w:r>
        <w:t xml:space="preserve"> </w:t>
      </w:r>
      <w:r>
        <w:rPr>
          <w:i/>
        </w:rPr>
        <w:t xml:space="preserve">“</w:t>
      </w:r>
      <w:r>
        <w:rPr>
          <w:i/>
        </w:rPr>
        <w:t xml:space="preserve">limited number of global suppliers,</w:t>
      </w:r>
      <w:r>
        <w:rPr>
          <w:i/>
        </w:rPr>
        <w:t xml:space="preserve">”</w:t>
      </w:r>
      <w:r>
        <w:t xml:space="preserve"> </w:t>
      </w:r>
      <w:r>
        <w:t xml:space="preserve">creating vulnerability to a single-facility or geopolitical disruption (</w:t>
      </w:r>
      <w:hyperlink r:id="rId28">
        <w:r>
          <w:rPr>
            <w:rStyle w:val="Hyperlink"/>
          </w:rPr>
          <w:t xml:space="preserve">ISPE</w:t>
        </w:r>
        <w:r>
          <w:rPr>
            <w:rStyle w:val="Hyperlink"/>
          </w:rPr>
          <w:t xml:space="preserve"> </w:t>
        </w:r>
        <w:r>
          <w:rPr>
            <w:rStyle w:val="Hyperlink"/>
            <w:i/>
          </w:rPr>
          <w:t xml:space="preserve">Pharmaceutical Engineering</w:t>
        </w:r>
        <w:r>
          <w:rPr>
            <w:rStyle w:val="Hyperlink"/>
          </w:rPr>
          <w:t xml:space="preserve">, Nov–Dec 2025</w:t>
        </w:r>
      </w:hyperlink>
      <w:r>
        <w:t xml:space="preserve">;</w:t>
      </w:r>
      <w:r>
        <w:t xml:space="preserve"> </w:t>
      </w:r>
      <w:hyperlink r:id="rId29">
        <w:r>
          <w:rPr>
            <w:rStyle w:val="Hyperlink"/>
          </w:rPr>
          <w:t xml:space="preserve">CRB — Best practices in oligonucleotide manufacturing</w:t>
        </w:r>
      </w:hyperlink>
      <w:r>
        <w:t xml:space="preserve">).</w:t>
      </w:r>
    </w:p>
    <w:p>
      <w:pPr>
        <w:numPr>
          <w:ilvl w:val="0"/>
          <w:numId w:val="1003"/>
        </w:numPr>
        <w:pStyle w:val="Compact"/>
      </w:pPr>
      <w:r>
        <w:rPr>
          <w:b/>
        </w:rPr>
        <w:t xml:space="preserve">Whether upstream (protected-nucleoside/reagent) production is</w:t>
      </w:r>
      <w:r>
        <w:rPr>
          <w:b/>
        </w:rPr>
        <w:t xml:space="preserve"> </w:t>
      </w:r>
      <w:r>
        <w:rPr>
          <w:i/>
          <w:b/>
        </w:rPr>
        <w:t xml:space="preserve">more</w:t>
      </w:r>
      <w:r>
        <w:rPr>
          <w:b/>
        </w:rPr>
        <w:t xml:space="preserve"> </w:t>
      </w:r>
      <w:r>
        <w:rPr>
          <w:b/>
        </w:rPr>
        <w:t xml:space="preserve">concentrated than amidite formulation is [UNVERIFIED]</w:t>
      </w:r>
      <w:r>
        <w:t xml:space="preserve"> </w:t>
      </w:r>
      <w:r>
        <w:t xml:space="preserve">— no retrieved source quantifies it. Reasoned hypothesis only: formulation is a fairly standardised final step done by many firms, whereas raw/protected-nucleoside and phosphitylation-reagent production is more capital- and chemistry-intensive and is prominently offered by vertically integrated Chinese producers (Hongene lists distinct upstream tiers — Nucleosides, Protected Nucleosides, nucleotides, linkers, reagents —</w:t>
      </w:r>
      <w:r>
        <w:t xml:space="preserve"> </w:t>
      </w:r>
      <w:hyperlink r:id="rId30">
        <w:r>
          <w:rPr>
            <w:rStyle w:val="Hyperlink"/>
          </w:rPr>
          <w:t xml:space="preserve">hongene.com/products</w:t>
        </w:r>
      </w:hyperlink>
      <w:r>
        <w:t xml:space="preserve">). Treat as a hypothesis to confirm with an industry source (see Contacts).</w:t>
      </w:r>
    </w:p>
    <w:p>
      <w:r>
        <w:pict>
          <v:rect style="width:0;height:1.5pt" o:hralign="center" o:hrstd="t" o:hr="t"/>
        </w:pict>
      </w:r>
    </w:p>
    <w:p>
      <w:pPr>
        <w:pStyle w:val="Heading2"/>
      </w:pPr>
      <w:bookmarkStart w:id="31" w:name="who-makes-them-manufacturers-hq-role"/>
      <w:r>
        <w:t xml:space="preserve">4. Who makes them (manufacturers, HQ, role)</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Company</w:t>
            </w:r>
          </w:p>
        </w:tc>
        <w:tc>
          <w:tcPr>
            <w:tcBorders>
              <w:bottom w:val="single"/>
            </w:tcBorders>
            <w:vAlign w:val="bottom"/>
          </w:tcPr>
          <w:p>
            <w:pPr>
              <w:pStyle w:val="Compact"/>
              <w:jc w:val="left"/>
            </w:pPr>
            <w:r>
              <w:t xml:space="preserve">HQ / geography</w:t>
            </w:r>
          </w:p>
        </w:tc>
        <w:tc>
          <w:tcPr>
            <w:tcBorders>
              <w:bottom w:val="single"/>
            </w:tcBorders>
            <w:vAlign w:val="bottom"/>
          </w:tcPr>
          <w:p>
            <w:pPr>
              <w:pStyle w:val="Compact"/>
              <w:jc w:val="left"/>
            </w:pPr>
            <w:r>
              <w:t xml:space="preserve">Role / grade</w:t>
            </w:r>
          </w:p>
        </w:tc>
        <w:tc>
          <w:tcPr>
            <w:tcBorders>
              <w:bottom w:val="single"/>
            </w:tcBorders>
            <w:vAlign w:val="bottom"/>
          </w:tcPr>
          <w:p>
            <w:pPr>
              <w:pStyle w:val="Compact"/>
              <w:jc w:val="left"/>
            </w:pPr>
            <w:r>
              <w:t xml:space="preserve">Source</w:t>
            </w:r>
          </w:p>
        </w:tc>
      </w:tr>
      <w:tr>
        <w:tc>
          <w:p>
            <w:pPr>
              <w:pStyle w:val="Compact"/>
              <w:jc w:val="left"/>
            </w:pPr>
            <w:r>
              <w:rPr>
                <w:b/>
              </w:rPr>
              <w:t xml:space="preserve">Glen Research</w:t>
            </w:r>
          </w:p>
        </w:tc>
        <w:tc>
          <w:p>
            <w:pPr>
              <w:pStyle w:val="Compact"/>
              <w:jc w:val="left"/>
            </w:pPr>
            <w:r>
              <w:t xml:space="preserve">Sterling, Virginia, USA (owned by Maravai LifeSciences)</w:t>
            </w:r>
          </w:p>
        </w:tc>
        <w:tc>
          <w:p>
            <w:pPr>
              <w:pStyle w:val="Compact"/>
              <w:jc w:val="left"/>
            </w:pPr>
            <w:r>
              <w:t xml:space="preserve">Research-scale amidites &amp; modifications</w:t>
            </w:r>
          </w:p>
        </w:tc>
        <w:tc>
          <w:p>
            <w:pPr>
              <w:pStyle w:val="Compact"/>
              <w:jc w:val="left"/>
            </w:pPr>
            <w:hyperlink r:id="rId32">
              <w:r>
                <w:rPr>
                  <w:rStyle w:val="Hyperlink"/>
                </w:rPr>
                <w:t xml:space="preserve">glenresearch.com/about-us</w:t>
              </w:r>
            </w:hyperlink>
          </w:p>
        </w:tc>
      </w:tr>
      <w:tr>
        <w:tc>
          <w:p>
            <w:pPr>
              <w:pStyle w:val="Compact"/>
              <w:jc w:val="left"/>
            </w:pPr>
            <w:r>
              <w:rPr>
                <w:b/>
              </w:rPr>
              <w:t xml:space="preserve">ChemGenes</w:t>
            </w:r>
          </w:p>
        </w:tc>
        <w:tc>
          <w:p>
            <w:pPr>
              <w:pStyle w:val="Compact"/>
              <w:jc w:val="left"/>
            </w:pPr>
            <w:r>
              <w:t xml:space="preserve">Wilmington, Massachusetts, USA (est. 1981)</w:t>
            </w:r>
          </w:p>
        </w:tc>
        <w:tc>
          <w:p>
            <w:pPr>
              <w:pStyle w:val="Compact"/>
              <w:jc w:val="left"/>
            </w:pPr>
            <w:r>
              <w:t xml:space="preserve">DNA/RNA amidites, CPG, nucleosides (research + commercial)</w:t>
            </w:r>
          </w:p>
        </w:tc>
        <w:tc>
          <w:p>
            <w:pPr>
              <w:pStyle w:val="Compact"/>
              <w:jc w:val="left"/>
            </w:pPr>
            <w:hyperlink r:id="rId33">
              <w:r>
                <w:rPr>
                  <w:rStyle w:val="Hyperlink"/>
                </w:rPr>
                <w:t xml:space="preserve">chemgenes.com</w:t>
              </w:r>
            </w:hyperlink>
          </w:p>
        </w:tc>
      </w:tr>
      <w:tr>
        <w:tc>
          <w:p>
            <w:pPr>
              <w:pStyle w:val="Compact"/>
              <w:jc w:val="left"/>
            </w:pPr>
            <w:r>
              <w:rPr>
                <w:b/>
              </w:rPr>
              <w:t xml:space="preserve">LGC Biosearch Technologies</w:t>
            </w:r>
          </w:p>
        </w:tc>
        <w:tc>
          <w:p>
            <w:pPr>
              <w:pStyle w:val="Compact"/>
              <w:jc w:val="left"/>
            </w:pPr>
            <w:r>
              <w:t xml:space="preserve">Petaluma &amp; Novato, California, USA + Denmark (part of LGC Group, UK)</w:t>
            </w:r>
          </w:p>
        </w:tc>
        <w:tc>
          <w:p>
            <w:pPr>
              <w:pStyle w:val="Compact"/>
              <w:jc w:val="left"/>
            </w:pPr>
            <w:r>
              <w:t xml:space="preserve">GMP oligo/amidite manufacturing</w:t>
            </w:r>
          </w:p>
        </w:tc>
        <w:tc>
          <w:p>
            <w:pPr>
              <w:pStyle w:val="Compact"/>
              <w:jc w:val="left"/>
            </w:pPr>
            <w:hyperlink r:id="rId34">
              <w:r>
                <w:rPr>
                  <w:rStyle w:val="Hyperlink"/>
                </w:rPr>
                <w:t xml:space="preserve">lgcgroup.com</w:t>
              </w:r>
            </w:hyperlink>
          </w:p>
        </w:tc>
      </w:tr>
      <w:tr>
        <w:tc>
          <w:p>
            <w:pPr>
              <w:pStyle w:val="Compact"/>
              <w:jc w:val="left"/>
            </w:pPr>
            <w:r>
              <w:rPr>
                <w:b/>
              </w:rPr>
              <w:t xml:space="preserve">Merck KGaA / Sigma-Aldrich</w:t>
            </w:r>
          </w:p>
        </w:tc>
        <w:tc>
          <w:p>
            <w:pPr>
              <w:pStyle w:val="Compact"/>
              <w:jc w:val="left"/>
            </w:pPr>
            <w:r>
              <w:t xml:space="preserve">Darmstadt, Germany</w:t>
            </w:r>
          </w:p>
        </w:tc>
        <w:tc>
          <w:p>
            <w:pPr>
              <w:pStyle w:val="Compact"/>
              <w:jc w:val="left"/>
            </w:pPr>
            <w:r>
              <w:t xml:space="preserve">Catalog/research amidites &amp; reagents</w:t>
            </w:r>
          </w:p>
        </w:tc>
        <w:tc>
          <w:p>
            <w:pPr>
              <w:pStyle w:val="Compact"/>
              <w:jc w:val="left"/>
            </w:pPr>
            <w:hyperlink r:id="rId35">
              <w:r>
                <w:rPr>
                  <w:rStyle w:val="Hyperlink"/>
                </w:rPr>
                <w:t xml:space="preserve">Coherent Market Insights</w:t>
              </w:r>
            </w:hyperlink>
          </w:p>
        </w:tc>
      </w:tr>
      <w:tr>
        <w:tc>
          <w:p>
            <w:pPr>
              <w:pStyle w:val="Compact"/>
              <w:jc w:val="left"/>
            </w:pPr>
            <w:r>
              <w:rPr>
                <w:b/>
              </w:rPr>
              <w:t xml:space="preserve">Thermo Fisher Scientific</w:t>
            </w:r>
          </w:p>
        </w:tc>
        <w:tc>
          <w:p>
            <w:pPr>
              <w:pStyle w:val="Compact"/>
              <w:jc w:val="left"/>
            </w:pPr>
            <w:r>
              <w:t xml:space="preserve">Waltham, Massachusetts, USA</w:t>
            </w:r>
          </w:p>
        </w:tc>
        <w:tc>
          <w:p>
            <w:pPr>
              <w:pStyle w:val="Compact"/>
              <w:jc w:val="left"/>
            </w:pPr>
            <w:r>
              <w:t xml:space="preserve">Amidites for oligo synthesis</w:t>
            </w:r>
          </w:p>
        </w:tc>
        <w:tc>
          <w:p>
            <w:pPr>
              <w:pStyle w:val="Compact"/>
              <w:jc w:val="left"/>
            </w:pPr>
            <w:hyperlink r:id="rId36">
              <w:r>
                <w:rPr>
                  <w:rStyle w:val="Hyperlink"/>
                </w:rPr>
                <w:t xml:space="preserve">thermofisher.com</w:t>
              </w:r>
            </w:hyperlink>
          </w:p>
        </w:tc>
      </w:tr>
      <w:tr>
        <w:tc>
          <w:p>
            <w:pPr>
              <w:pStyle w:val="Compact"/>
              <w:jc w:val="left"/>
            </w:pPr>
            <w:r>
              <w:rPr>
                <w:b/>
              </w:rPr>
              <w:t xml:space="preserve">Hongene Biotech</w:t>
            </w:r>
          </w:p>
        </w:tc>
        <w:tc>
          <w:p>
            <w:pPr>
              <w:pStyle w:val="Compact"/>
              <w:jc w:val="left"/>
            </w:pPr>
            <w:r>
              <w:t xml:space="preserve">China (Shanghai); US subsidiary Union City, CA; offices Germany/Japan</w:t>
            </w:r>
          </w:p>
        </w:tc>
        <w:tc>
          <w:p>
            <w:pPr>
              <w:pStyle w:val="Compact"/>
              <w:jc w:val="left"/>
            </w:pPr>
            <w:r>
              <w:t xml:space="preserve">Vertically integrated bulk raw materials + CDMO;</w:t>
            </w:r>
            <w:r>
              <w:t xml:space="preserve"> </w:t>
            </w:r>
            <w:r>
              <w:rPr>
                <w:b/>
              </w:rPr>
              <w:t xml:space="preserve">58 t/yr amidite capacity</w:t>
            </w:r>
          </w:p>
        </w:tc>
        <w:tc>
          <w:p>
            <w:pPr>
              <w:pStyle w:val="Compact"/>
              <w:jc w:val="left"/>
            </w:pPr>
            <w:hyperlink r:id="rId37">
              <w:r>
                <w:rPr>
                  <w:rStyle w:val="Hyperlink"/>
                </w:rPr>
                <w:t xml:space="preserve">Hongene capacity release</w:t>
              </w:r>
            </w:hyperlink>
            <w:r>
              <w:t xml:space="preserve">;</w:t>
            </w:r>
            <w:r>
              <w:t xml:space="preserve"> </w:t>
            </w:r>
            <w:hyperlink r:id="rId38">
              <w:r>
                <w:rPr>
                  <w:rStyle w:val="Hyperlink"/>
                </w:rPr>
                <w:t xml:space="preserve">about-us</w:t>
              </w:r>
            </w:hyperlink>
          </w:p>
        </w:tc>
      </w:tr>
      <w:tr>
        <w:tc>
          <w:p>
            <w:pPr>
              <w:pStyle w:val="Compact"/>
              <w:jc w:val="left"/>
            </w:pPr>
            <w:r>
              <w:rPr>
                <w:b/>
              </w:rPr>
              <w:t xml:space="preserve">Biosynth</w:t>
            </w:r>
            <w:r>
              <w:t xml:space="preserve"> </w:t>
            </w:r>
            <w:r>
              <w:t xml:space="preserve">(acquired Carbosynth)</w:t>
            </w:r>
          </w:p>
        </w:tc>
        <w:tc>
          <w:p>
            <w:pPr>
              <w:pStyle w:val="Compact"/>
              <w:jc w:val="left"/>
            </w:pPr>
            <w:r>
              <w:t xml:space="preserve">Staad, Switzerland</w:t>
            </w:r>
          </w:p>
        </w:tc>
        <w:tc>
          <w:p>
            <w:pPr>
              <w:pStyle w:val="Compact"/>
              <w:jc w:val="left"/>
            </w:pPr>
            <w:r>
              <w:t xml:space="preserve">Nucleosides &amp; specialty synthesis chemicals</w:t>
            </w:r>
          </w:p>
        </w:tc>
        <w:tc>
          <w:p>
            <w:pPr>
              <w:pStyle w:val="Compact"/>
              <w:jc w:val="left"/>
            </w:pPr>
            <w:hyperlink r:id="rId39">
              <w:r>
                <w:rPr>
                  <w:rStyle w:val="Hyperlink"/>
                </w:rPr>
                <w:t xml:space="preserve">biosynth.com</w:t>
              </w:r>
            </w:hyperlink>
          </w:p>
        </w:tc>
      </w:tr>
      <w:tr>
        <w:tc>
          <w:p>
            <w:pPr>
              <w:pStyle w:val="Compact"/>
              <w:jc w:val="left"/>
            </w:pPr>
            <w:r>
              <w:rPr>
                <w:b/>
              </w:rPr>
              <w:t xml:space="preserve">TriLink BioTechnologies</w:t>
            </w:r>
          </w:p>
        </w:tc>
        <w:tc>
          <w:p>
            <w:pPr>
              <w:pStyle w:val="Compact"/>
              <w:jc w:val="left"/>
            </w:pPr>
            <w:r>
              <w:t xml:space="preserve">San Diego, California, USA (Maravai)</w:t>
            </w:r>
          </w:p>
        </w:tc>
        <w:tc>
          <w:p>
            <w:pPr>
              <w:pStyle w:val="Compact"/>
              <w:jc w:val="left"/>
            </w:pPr>
            <w:r>
              <w:t xml:space="preserve">Amidites, modified nucleotides</w:t>
            </w:r>
          </w:p>
        </w:tc>
        <w:tc>
          <w:p>
            <w:pPr>
              <w:pStyle w:val="Compact"/>
              <w:jc w:val="left"/>
            </w:pPr>
            <w:hyperlink r:id="rId40">
              <w:r>
                <w:rPr>
                  <w:rStyle w:val="Hyperlink"/>
                </w:rPr>
                <w:t xml:space="preserve">biospace.com</w:t>
              </w:r>
            </w:hyperlink>
          </w:p>
        </w:tc>
      </w:tr>
      <w:tr>
        <w:tc>
          <w:p>
            <w:pPr>
              <w:pStyle w:val="Compact"/>
              <w:jc w:val="left"/>
            </w:pPr>
            <w:r>
              <w:rPr>
                <w:b/>
              </w:rPr>
              <w:t xml:space="preserve">Kaneka (Eurogentec)</w:t>
            </w:r>
          </w:p>
        </w:tc>
        <w:tc>
          <w:p>
            <w:pPr>
              <w:pStyle w:val="Compact"/>
              <w:jc w:val="left"/>
            </w:pPr>
            <w:r>
              <w:t xml:space="preserve">Osaka, Japan; subsidiary in Belgium</w:t>
            </w:r>
          </w:p>
        </w:tc>
        <w:tc>
          <w:p>
            <w:pPr>
              <w:pStyle w:val="Compact"/>
              <w:jc w:val="left"/>
            </w:pPr>
            <w:r>
              <w:t xml:space="preserve">GMP oligonucleotide manufacturing</w:t>
            </w:r>
          </w:p>
        </w:tc>
        <w:tc>
          <w:p>
            <w:pPr>
              <w:pStyle w:val="Compact"/>
              <w:jc w:val="left"/>
            </w:pPr>
            <w:hyperlink r:id="rId41">
              <w:r>
                <w:rPr>
                  <w:rStyle w:val="Hyperlink"/>
                </w:rPr>
                <w:t xml:space="preserve">Kaneka news</w:t>
              </w:r>
            </w:hyperlink>
          </w:p>
        </w:tc>
      </w:tr>
      <w:tr>
        <w:tc>
          <w:p>
            <w:pPr>
              <w:pStyle w:val="Compact"/>
              <w:jc w:val="left"/>
            </w:pPr>
            <w:r>
              <w:rPr>
                <w:b/>
              </w:rPr>
              <w:t xml:space="preserve">Nitto Denko / Avecia</w:t>
            </w:r>
          </w:p>
        </w:tc>
        <w:tc>
          <w:p>
            <w:pPr>
              <w:pStyle w:val="Compact"/>
              <w:jc w:val="left"/>
            </w:pPr>
            <w:r>
              <w:t xml:space="preserve">Osaka, Japan; Avecia in Milford, MA, USA</w:t>
            </w:r>
          </w:p>
        </w:tc>
        <w:tc>
          <w:p>
            <w:pPr>
              <w:pStyle w:val="Compact"/>
              <w:jc w:val="left"/>
            </w:pPr>
            <w:r>
              <w:t xml:space="preserve">Oligo CDMO; ~US$226M expansion</w:t>
            </w:r>
          </w:p>
        </w:tc>
        <w:tc>
          <w:p>
            <w:pPr>
              <w:pStyle w:val="Compact"/>
              <w:jc w:val="left"/>
            </w:pPr>
            <w:hyperlink r:id="rId42">
              <w:r>
                <w:rPr>
                  <w:rStyle w:val="Hyperlink"/>
                </w:rPr>
                <w:t xml:space="preserve">Fierce Pharma</w:t>
              </w:r>
            </w:hyperlink>
          </w:p>
        </w:tc>
      </w:tr>
      <w:tr>
        <w:tc>
          <w:p>
            <w:pPr>
              <w:pStyle w:val="Compact"/>
              <w:jc w:val="left"/>
            </w:pPr>
            <w:r>
              <w:rPr>
                <w:b/>
              </w:rPr>
              <w:t xml:space="preserve">Ajinomoto Bio-Pharma / GeneDesign</w:t>
            </w:r>
          </w:p>
        </w:tc>
        <w:tc>
          <w:p>
            <w:pPr>
              <w:pStyle w:val="Compact"/>
              <w:jc w:val="left"/>
            </w:pPr>
            <w:r>
              <w:t xml:space="preserve">Osaka, Japan</w:t>
            </w:r>
          </w:p>
        </w:tc>
        <w:tc>
          <w:p>
            <w:pPr>
              <w:pStyle w:val="Compact"/>
              <w:jc w:val="left"/>
            </w:pPr>
            <w:r>
              <w:t xml:space="preserve">Largest GMP solid-phase oligo capability in Japan</w:t>
            </w:r>
          </w:p>
        </w:tc>
        <w:tc>
          <w:p>
            <w:pPr>
              <w:pStyle w:val="Compact"/>
              <w:jc w:val="left"/>
            </w:pPr>
            <w:hyperlink r:id="rId43">
              <w:r>
                <w:rPr>
                  <w:rStyle w:val="Hyperlink"/>
                </w:rPr>
                <w:t xml:space="preserve">Drug Dev. &amp; Delivery</w:t>
              </w:r>
            </w:hyperlink>
          </w:p>
        </w:tc>
      </w:tr>
      <w:tr>
        <w:tc>
          <w:p>
            <w:pPr>
              <w:pStyle w:val="Compact"/>
              <w:jc w:val="left"/>
            </w:pPr>
            <w:r>
              <w:rPr>
                <w:b/>
              </w:rPr>
              <w:t xml:space="preserve">Bioneer; Lumiprobe; PolyOrg</w:t>
            </w:r>
          </w:p>
        </w:tc>
        <w:tc>
          <w:p>
            <w:pPr>
              <w:pStyle w:val="Compact"/>
              <w:jc w:val="left"/>
            </w:pPr>
            <w:r>
              <w:t xml:space="preserve">Bioneer = South Korea; Lumiprobe/PolyOrg HQ</w:t>
            </w:r>
            <w:r>
              <w:t xml:space="preserve"> </w:t>
            </w:r>
            <w:r>
              <w:rPr>
                <w:b/>
              </w:rPr>
              <w:t xml:space="preserve">[UNVERIFIED]</w:t>
            </w:r>
          </w:p>
        </w:tc>
        <w:tc>
          <w:p>
            <w:pPr>
              <w:pStyle w:val="Compact"/>
              <w:jc w:val="left"/>
            </w:pPr>
            <w:r>
              <w:t xml:space="preserve">Named market participants</w:t>
            </w:r>
          </w:p>
        </w:tc>
        <w:tc>
          <w:p>
            <w:pPr>
              <w:pStyle w:val="Compact"/>
              <w:jc w:val="left"/>
            </w:pPr>
            <w:hyperlink r:id="rId44">
              <w:r>
                <w:rPr>
                  <w:rStyle w:val="Hyperlink"/>
                </w:rPr>
                <w:t xml:space="preserve">Mordor company list</w:t>
              </w:r>
            </w:hyperlink>
          </w:p>
        </w:tc>
      </w:tr>
    </w:tbl>
    <w:p>
      <w:pPr>
        <w:pStyle w:val="BodyText"/>
      </w:pPr>
      <w:r>
        <w:rPr>
          <w:b/>
        </w:rPr>
        <w:t xml:space="preserve">Market concentration (indicative, market-research estimate):</w:t>
      </w:r>
      <w:r>
        <w:t xml:space="preserve"> </w:t>
      </w:r>
      <w:r>
        <w:t xml:space="preserve">one vendor states the</w:t>
      </w:r>
      <w:r>
        <w:t xml:space="preserve"> </w:t>
      </w:r>
      <w:r>
        <w:rPr>
          <w:b/>
        </w:rPr>
        <w:t xml:space="preserve">top six — Thermo Fisher, Merck, Danaher, LGC Biosearch, Qiagen, Hongene — hold ~60–70% of the phosphoramidite market (2024)</w:t>
      </w:r>
      <w:r>
        <w:t xml:space="preserve"> </w:t>
      </w:r>
      <w:r>
        <w:t xml:space="preserve">(</w:t>
      </w:r>
      <w:hyperlink r:id="rId35">
        <w:r>
          <w:rPr>
            <w:rStyle w:val="Hyperlink"/>
          </w:rPr>
          <w:t xml:space="preserve">Coherent Market Insights</w:t>
        </w:r>
      </w:hyperlink>
      <w:r>
        <w:t xml:space="preserve">). This is a research-firm estimate, not audited — treat as directional.</w:t>
      </w:r>
    </w:p>
    <w:p>
      <w:pPr>
        <w:pStyle w:val="BodyText"/>
      </w:pPr>
      <w:r>
        <w:rPr>
          <w:b/>
        </w:rPr>
        <w:t xml:space="preserve">China / bulk role.</w:t>
      </w:r>
      <w:r>
        <w:t xml:space="preserve"> </w:t>
      </w:r>
      <w:r>
        <w:t xml:space="preserve">Hongene is described as the largest supplier of nucleic-acid raw materials used in mRNA COVID-19 vaccines and is expanding a vertically integrated</w:t>
      </w:r>
      <w:r>
        <w:t xml:space="preserve"> </w:t>
      </w:r>
      <w:r>
        <w:t xml:space="preserve">“</w:t>
      </w:r>
      <w:r>
        <w:t xml:space="preserve">raw materials → CDMO</w:t>
      </w:r>
      <w:r>
        <w:t xml:space="preserve">”</w:t>
      </w:r>
      <w:r>
        <w:t xml:space="preserve"> </w:t>
      </w:r>
      <w:r>
        <w:t xml:space="preserve">platform (</w:t>
      </w:r>
      <w:hyperlink r:id="rId45">
        <w:r>
          <w:rPr>
            <w:rStyle w:val="Hyperlink"/>
          </w:rPr>
          <w:t xml:space="preserve">PharmaSource</w:t>
        </w:r>
      </w:hyperlink>
      <w:r>
        <w:t xml:space="preserve">; Hongene materials above). WuXi STA is reported to run</w:t>
      </w:r>
      <w:r>
        <w:t xml:space="preserve"> </w:t>
      </w:r>
      <w:r>
        <w:rPr>
          <w:b/>
        </w:rPr>
        <w:t xml:space="preserve">27 oligonucleotide production lines</w:t>
      </w:r>
      <w:r>
        <w:t xml:space="preserve"> </w:t>
      </w:r>
      <w:r>
        <w:t xml:space="preserve">(</w:t>
      </w:r>
      <w:hyperlink r:id="rId46">
        <w:r>
          <w:rPr>
            <w:rStyle w:val="Hyperlink"/>
          </w:rPr>
          <w:t xml:space="preserve">Mordor Intelligence</w:t>
        </w:r>
      </w:hyperlink>
      <w:r>
        <w:t xml:space="preserve">). The therapeutic-grade bulk chain (Hongene, WuXi STA, Nitto Avecia, Ajinomoto, Kaneka, CordenPharma) is functionally distinct from the research/benchtop catalog channel (Glen Research, Biosearch, Thermo) relevant to DIY — though no single source states this separation explicitly (</w:t>
      </w:r>
      <w:r>
        <w:rPr>
          <w:b/>
        </w:rPr>
        <w:t xml:space="preserve">[PARTIALLY UNVERIFIED]</w:t>
      </w:r>
      <w:r>
        <w:t xml:space="preserve">; inferred from grade/scale/supplier positioning).</w:t>
      </w:r>
    </w:p>
    <w:p>
      <w:r>
        <w:pict>
          <v:rect style="width:0;height:1.5pt" o:hralign="center" o:hrstd="t" o:hr="t"/>
        </w:pict>
      </w:r>
    </w:p>
    <w:p>
      <w:pPr>
        <w:pStyle w:val="Heading2"/>
      </w:pPr>
      <w:bookmarkStart w:id="47" w:name="Xf82142ec419f626bfcf3d61af024a8a2990a67f"/>
      <w:r>
        <w:t xml:space="preserve">5. Market size &amp; structure (a spread of vendor estimates)</w:t>
      </w:r>
      <w:bookmarkEnd w:id="47"/>
    </w:p>
    <w:p>
      <w:pPr>
        <w:pStyle w:val="FirstParagraph"/>
      </w:pPr>
      <w:r>
        <w:t xml:space="preserve">Base-year values cluster tightly (~</w:t>
      </w:r>
      <w:r>
        <w:rPr>
          <w:b/>
        </w:rPr>
        <w:t xml:space="preserve">US$1.1–1.2 billion, 2023–2025</w:t>
      </w:r>
      <w:r>
        <w:t xml:space="preserve">); forecasts to 2033–2034 diverge ~40%.</w:t>
      </w:r>
    </w:p>
    <w:tbl>
      <w:tblPr>
        <w:tblStyle w:val="Table"/>
        <w:tblW w:type="pct" w:w="0.0"/>
        <w:tblLook w:firstRow="1"/>
      </w:tblPr>
      <w:tblGrid/>
      <w:tr>
        <w:trPr>
          <w:cnfStyle w:firstRow="1"/>
        </w:trPr>
        <w:tc>
          <w:tcPr>
            <w:tcBorders>
              <w:bottom w:val="single"/>
            </w:tcBorders>
            <w:vAlign w:val="bottom"/>
          </w:tcPr>
          <w:p>
            <w:pPr>
              <w:pStyle w:val="Compact"/>
              <w:jc w:val="left"/>
            </w:pPr>
            <w:r>
              <w:t xml:space="preserve">Vendor</w:t>
            </w:r>
          </w:p>
        </w:tc>
        <w:tc>
          <w:tcPr>
            <w:tcBorders>
              <w:bottom w:val="single"/>
            </w:tcBorders>
            <w:vAlign w:val="bottom"/>
          </w:tcPr>
          <w:p>
            <w:pPr>
              <w:pStyle w:val="Compact"/>
              <w:jc w:val="left"/>
            </w:pPr>
            <w:r>
              <w:t xml:space="preserve">Base value</w:t>
            </w:r>
          </w:p>
        </w:tc>
        <w:tc>
          <w:tcPr>
            <w:tcBorders>
              <w:bottom w:val="single"/>
            </w:tcBorders>
            <w:vAlign w:val="bottom"/>
          </w:tcPr>
          <w:p>
            <w:pPr>
              <w:pStyle w:val="Compact"/>
              <w:jc w:val="left"/>
            </w:pPr>
            <w:r>
              <w:t xml:space="preserve">Forecast</w:t>
            </w:r>
          </w:p>
        </w:tc>
        <w:tc>
          <w:tcPr>
            <w:tcBorders>
              <w:bottom w:val="single"/>
            </w:tcBorders>
            <w:vAlign w:val="bottom"/>
          </w:tcPr>
          <w:p>
            <w:pPr>
              <w:pStyle w:val="Compact"/>
              <w:jc w:val="left"/>
            </w:pPr>
            <w:r>
              <w:t xml:space="preserve">CAGR</w:t>
            </w:r>
          </w:p>
        </w:tc>
        <w:tc>
          <w:tcPr>
            <w:tcBorders>
              <w:bottom w:val="single"/>
            </w:tcBorders>
            <w:vAlign w:val="bottom"/>
          </w:tcPr>
          <w:p>
            <w:pPr>
              <w:pStyle w:val="Compact"/>
              <w:jc w:val="left"/>
            </w:pPr>
            <w:r>
              <w:t xml:space="preserve">Source</w:t>
            </w:r>
          </w:p>
        </w:tc>
      </w:tr>
      <w:tr>
        <w:tc>
          <w:p>
            <w:pPr>
              <w:pStyle w:val="Compact"/>
              <w:jc w:val="left"/>
            </w:pPr>
            <w:r>
              <w:t xml:space="preserve">Grand View Research (2024 report)</w:t>
            </w:r>
          </w:p>
        </w:tc>
        <w:tc>
          <w:p>
            <w:pPr>
              <w:pStyle w:val="Compact"/>
              <w:jc w:val="left"/>
            </w:pPr>
            <w:r>
              <w:t xml:space="preserve">$1.08B (2023)</w:t>
            </w:r>
          </w:p>
        </w:tc>
        <w:tc>
          <w:p>
            <w:pPr>
              <w:pStyle w:val="Compact"/>
              <w:jc w:val="left"/>
            </w:pPr>
            <w:r>
              <w:t xml:space="preserve">$1.76B by 2030</w:t>
            </w:r>
          </w:p>
        </w:tc>
        <w:tc>
          <w:p>
            <w:pPr>
              <w:pStyle w:val="Compact"/>
              <w:jc w:val="left"/>
            </w:pPr>
            <w:r>
              <w:t xml:space="preserve">7.37%</w:t>
            </w:r>
          </w:p>
        </w:tc>
        <w:tc>
          <w:p>
            <w:pPr>
              <w:pStyle w:val="Compact"/>
              <w:jc w:val="left"/>
            </w:pPr>
            <w:hyperlink r:id="rId48">
              <w:r>
                <w:rPr>
                  <w:rStyle w:val="Hyperlink"/>
                </w:rPr>
                <w:t xml:space="preserve">GVR</w:t>
              </w:r>
            </w:hyperlink>
          </w:p>
        </w:tc>
      </w:tr>
      <w:tr>
        <w:tc>
          <w:p>
            <w:pPr>
              <w:pStyle w:val="Compact"/>
              <w:jc w:val="left"/>
            </w:pPr>
            <w:r>
              <w:t xml:space="preserve">Grand View Research (2025 revision)</w:t>
            </w:r>
          </w:p>
        </w:tc>
        <w:tc>
          <w:p>
            <w:pPr>
              <w:pStyle w:val="Compact"/>
              <w:jc w:val="left"/>
            </w:pPr>
            <w:r>
              <w:t xml:space="preserve">—</w:t>
            </w:r>
          </w:p>
        </w:tc>
        <w:tc>
          <w:p>
            <w:pPr>
              <w:pStyle w:val="Compact"/>
              <w:jc w:val="left"/>
            </w:pPr>
            <w:r>
              <w:t xml:space="preserve">$2.27B by 2033</w:t>
            </w:r>
          </w:p>
        </w:tc>
        <w:tc>
          <w:p>
            <w:pPr>
              <w:pStyle w:val="Compact"/>
              <w:jc w:val="left"/>
            </w:pPr>
            <w:r>
              <w:t xml:space="preserve">8.06%</w:t>
            </w:r>
          </w:p>
        </w:tc>
        <w:tc>
          <w:p>
            <w:pPr>
              <w:pStyle w:val="Compact"/>
              <w:jc w:val="left"/>
            </w:pPr>
            <w:hyperlink r:id="rId49">
              <w:r>
                <w:rPr>
                  <w:rStyle w:val="Hyperlink"/>
                </w:rPr>
                <w:t xml:space="preserve">GVR press release</w:t>
              </w:r>
            </w:hyperlink>
          </w:p>
        </w:tc>
      </w:tr>
      <w:tr>
        <w:tc>
          <w:p>
            <w:pPr>
              <w:pStyle w:val="Compact"/>
              <w:jc w:val="left"/>
            </w:pPr>
            <w:r>
              <w:t xml:space="preserve">Mordor Intelligence</w:t>
            </w:r>
          </w:p>
        </w:tc>
        <w:tc>
          <w:p>
            <w:pPr>
              <w:pStyle w:val="Compact"/>
              <w:jc w:val="left"/>
            </w:pPr>
            <w:r>
              <w:t xml:space="preserve">$1.20B (2025)</w:t>
            </w:r>
          </w:p>
        </w:tc>
        <w:tc>
          <w:p>
            <w:pPr>
              <w:pStyle w:val="Compact"/>
              <w:jc w:val="left"/>
            </w:pPr>
            <w:r>
              <w:t xml:space="preserve">$1.74B by 2031</w:t>
            </w:r>
          </w:p>
        </w:tc>
        <w:tc>
          <w:p>
            <w:pPr>
              <w:pStyle w:val="Compact"/>
              <w:jc w:val="left"/>
            </w:pPr>
            <w:r>
              <w:t xml:space="preserve">6.34%</w:t>
            </w:r>
          </w:p>
        </w:tc>
        <w:tc>
          <w:p>
            <w:pPr>
              <w:pStyle w:val="Compact"/>
              <w:jc w:val="left"/>
            </w:pPr>
            <w:hyperlink r:id="rId46">
              <w:r>
                <w:rPr>
                  <w:rStyle w:val="Hyperlink"/>
                </w:rPr>
                <w:t xml:space="preserve">Mordor</w:t>
              </w:r>
            </w:hyperlink>
          </w:p>
        </w:tc>
      </w:tr>
      <w:tr>
        <w:tc>
          <w:p>
            <w:pPr>
              <w:pStyle w:val="Compact"/>
              <w:jc w:val="left"/>
            </w:pPr>
            <w:r>
              <w:t xml:space="preserve">GMInsights</w:t>
            </w:r>
          </w:p>
        </w:tc>
        <w:tc>
          <w:p>
            <w:pPr>
              <w:pStyle w:val="Compact"/>
              <w:jc w:val="left"/>
            </w:pPr>
            <w:r>
              <w:t xml:space="preserve">$1.2B (2024)</w:t>
            </w:r>
          </w:p>
        </w:tc>
        <w:tc>
          <w:p>
            <w:pPr>
              <w:pStyle w:val="Compact"/>
              <w:jc w:val="left"/>
            </w:pPr>
            <w:r>
              <w:t xml:space="preserve">~$2.4–2.45B by 2034</w:t>
            </w:r>
          </w:p>
        </w:tc>
        <w:tc>
          <w:p>
            <w:pPr>
              <w:pStyle w:val="Compact"/>
              <w:jc w:val="left"/>
            </w:pPr>
            <w:r>
              <w:t xml:space="preserve">7.2%</w:t>
            </w:r>
          </w:p>
        </w:tc>
        <w:tc>
          <w:p>
            <w:pPr>
              <w:pStyle w:val="Compact"/>
              <w:jc w:val="left"/>
            </w:pPr>
            <w:hyperlink r:id="rId50">
              <w:r>
                <w:rPr>
                  <w:rStyle w:val="Hyperlink"/>
                </w:rPr>
                <w:t xml:space="preserve">GMInsights</w:t>
              </w:r>
            </w:hyperlink>
          </w:p>
        </w:tc>
      </w:tr>
      <w:tr>
        <w:tc>
          <w:p>
            <w:pPr>
              <w:pStyle w:val="Compact"/>
              <w:jc w:val="left"/>
            </w:pPr>
            <w:r>
              <w:t xml:space="preserve">Emergen Research</w:t>
            </w:r>
          </w:p>
        </w:tc>
        <w:tc>
          <w:p>
            <w:pPr>
              <w:pStyle w:val="Compact"/>
              <w:jc w:val="left"/>
            </w:pPr>
            <w:r>
              <w:t xml:space="preserve">$1.2B (2024)</w:t>
            </w:r>
          </w:p>
        </w:tc>
        <w:tc>
          <w:p>
            <w:pPr>
              <w:pStyle w:val="Compact"/>
              <w:jc w:val="left"/>
            </w:pPr>
            <w:r>
              <w:t xml:space="preserve">$2.4B by 2033</w:t>
            </w:r>
          </w:p>
        </w:tc>
        <w:tc>
          <w:p>
            <w:pPr>
              <w:pStyle w:val="Compact"/>
              <w:jc w:val="left"/>
            </w:pPr>
            <w:r>
              <w:t xml:space="preserve">8.0%</w:t>
            </w:r>
          </w:p>
        </w:tc>
        <w:tc>
          <w:p>
            <w:pPr>
              <w:pStyle w:val="Compact"/>
              <w:jc w:val="left"/>
            </w:pPr>
            <w:hyperlink r:id="rId51">
              <w:r>
                <w:rPr>
                  <w:rStyle w:val="Hyperlink"/>
                </w:rPr>
                <w:t xml:space="preserve">Emergen</w:t>
              </w:r>
            </w:hyperlink>
          </w:p>
        </w:tc>
      </w:tr>
      <w:tr>
        <w:tc>
          <w:p>
            <w:pPr>
              <w:pStyle w:val="Compact"/>
              <w:jc w:val="left"/>
            </w:pPr>
            <w:r>
              <w:t xml:space="preserve">Astute Analytica</w:t>
            </w:r>
          </w:p>
        </w:tc>
        <w:tc>
          <w:p>
            <w:pPr>
              <w:pStyle w:val="Compact"/>
              <w:jc w:val="left"/>
            </w:pPr>
            <w:r>
              <w:t xml:space="preserve">—</w:t>
            </w:r>
          </w:p>
        </w:tc>
        <w:tc>
          <w:p>
            <w:pPr>
              <w:pStyle w:val="Compact"/>
              <w:jc w:val="left"/>
            </w:pPr>
            <w:r>
              <w:t xml:space="preserve">$2.44B by 2033</w:t>
            </w:r>
          </w:p>
        </w:tc>
        <w:tc>
          <w:p>
            <w:pPr>
              <w:pStyle w:val="Compact"/>
              <w:jc w:val="left"/>
            </w:pPr>
            <w:r>
              <w:t xml:space="preserve">8.1%</w:t>
            </w:r>
          </w:p>
        </w:tc>
        <w:tc>
          <w:p>
            <w:pPr>
              <w:pStyle w:val="Compact"/>
              <w:jc w:val="left"/>
            </w:pPr>
            <w:hyperlink r:id="rId52">
              <w:r>
                <w:rPr>
                  <w:rStyle w:val="Hyperlink"/>
                </w:rPr>
                <w:t xml:space="preserve">Astute</w:t>
              </w:r>
            </w:hyperlink>
          </w:p>
        </w:tc>
      </w:tr>
      <w:tr>
        <w:tc>
          <w:p>
            <w:pPr>
              <w:pStyle w:val="Compact"/>
              <w:jc w:val="left"/>
            </w:pPr>
            <w:r>
              <w:t xml:space="preserve">Coherent Market Insights</w:t>
            </w:r>
          </w:p>
        </w:tc>
        <w:tc>
          <w:p>
            <w:pPr>
              <w:pStyle w:val="Compact"/>
              <w:jc w:val="left"/>
            </w:pPr>
            <w:r>
              <w:t xml:space="preserve">$1.09B (2026)</w:t>
            </w:r>
          </w:p>
        </w:tc>
        <w:tc>
          <w:p>
            <w:pPr>
              <w:pStyle w:val="Compact"/>
              <w:jc w:val="left"/>
            </w:pPr>
            <w:r>
              <w:t xml:space="preserve">$1.83B by 2033</w:t>
            </w:r>
          </w:p>
        </w:tc>
        <w:tc>
          <w:p>
            <w:pPr>
              <w:pStyle w:val="Compact"/>
              <w:jc w:val="left"/>
            </w:pPr>
            <w:r>
              <w:t xml:space="preserve">7.7%</w:t>
            </w:r>
          </w:p>
        </w:tc>
        <w:tc>
          <w:p>
            <w:pPr>
              <w:pStyle w:val="Compact"/>
              <w:jc w:val="left"/>
            </w:pPr>
            <w:hyperlink r:id="rId35">
              <w:r>
                <w:rPr>
                  <w:rStyle w:val="Hyperlink"/>
                </w:rPr>
                <w:t xml:space="preserve">Coherent</w:t>
              </w:r>
            </w:hyperlink>
          </w:p>
        </w:tc>
      </w:tr>
    </w:tbl>
    <w:p>
      <w:pPr>
        <w:pStyle w:val="BodyText"/>
      </w:pPr>
      <w:r>
        <w:rPr>
          <w:b/>
        </w:rPr>
        <w:t xml:space="preserve">Regional share:</w:t>
      </w:r>
      <w:r>
        <w:t xml:space="preserve"> </w:t>
      </w:r>
      <w:r>
        <w:t xml:space="preserve">North America is largest —</w:t>
      </w:r>
      <w:r>
        <w:t xml:space="preserve"> </w:t>
      </w:r>
      <w:r>
        <w:rPr>
          <w:b/>
        </w:rPr>
        <w:t xml:space="preserve">39.3% (Grand View, 2024)</w:t>
      </w:r>
      <w:r>
        <w:t xml:space="preserve"> </w:t>
      </w:r>
      <w:r>
        <w:t xml:space="preserve">vs</w:t>
      </w:r>
      <w:r>
        <w:t xml:space="preserve"> </w:t>
      </w:r>
      <w:r>
        <w:rPr>
          <w:b/>
        </w:rPr>
        <w:t xml:space="preserve">44.1% (GMInsights, 2024)</w:t>
      </w:r>
      <w:r>
        <w:t xml:space="preserve"> </w:t>
      </w:r>
      <w:r>
        <w:t xml:space="preserve">(vendors differ ~5 points). Asia-Pacific is fastest-growing (~9–10% CAGR); an APAC 2024 share of ~24.9% / US$285.2M is</w:t>
      </w:r>
      <w:r>
        <w:t xml:space="preserve"> </w:t>
      </w:r>
      <w:r>
        <w:rPr>
          <w:b/>
        </w:rPr>
        <w:t xml:space="preserve">[UNVERIFIED]</w:t>
      </w:r>
      <w:r>
        <w:t xml:space="preserve"> </w:t>
      </w:r>
      <w:r>
        <w:t xml:space="preserve">(appeared only in a GVR Horizon search summary). Europe is consistently third. Sources as above.</w:t>
      </w:r>
    </w:p>
    <w:p>
      <w:pPr>
        <w:pStyle w:val="BodyText"/>
      </w:pPr>
      <w:r>
        <w:rPr>
          <w:b/>
        </w:rPr>
        <w:t xml:space="preserve">Growth drivers (consistent across vendors):</w:t>
      </w:r>
      <w:r>
        <w:t xml:space="preserve"> </w:t>
      </w:r>
      <w:r>
        <w:t xml:space="preserve">nucleic-acid therapeutics — antisense oligonucleotides, siRNA and mRNA — dominate; RNA phosphoramidites are the fastest-growing type; drug discovery is the largest application (</w:t>
      </w:r>
      <w:hyperlink r:id="rId49">
        <w:r>
          <w:rPr>
            <w:rStyle w:val="Hyperlink"/>
          </w:rPr>
          <w:t xml:space="preserve">GVR press release</w:t>
        </w:r>
      </w:hyperlink>
      <w:r>
        <w:t xml:space="preserve">).</w:t>
      </w:r>
    </w:p>
    <w:p>
      <w:pPr>
        <w:pStyle w:val="BodyText"/>
      </w:pPr>
      <w:r>
        <w:rPr>
          <w:b/>
        </w:rPr>
        <w:t xml:space="preserve">Context — larger adjacent markets (do not conflate).</w:t>
      </w:r>
      <w:r>
        <w:t xml:space="preserve"> </w:t>
      </w:r>
      <w:r>
        <w:t xml:space="preserve">The broader</w:t>
      </w:r>
      <w:r>
        <w:t xml:space="preserve"> </w:t>
      </w:r>
      <w:r>
        <w:t xml:space="preserve">“</w:t>
      </w:r>
      <w:r>
        <w:t xml:space="preserve">oligonucleotide synthesis</w:t>
      </w:r>
      <w:r>
        <w:t xml:space="preserve">”</w:t>
      </w:r>
      <w:r>
        <w:t xml:space="preserve"> </w:t>
      </w:r>
      <w:r>
        <w:t xml:space="preserve">market is quoted anywhere from</w:t>
      </w:r>
      <w:r>
        <w:t xml:space="preserve"> </w:t>
      </w:r>
      <w:r>
        <w:rPr>
          <w:b/>
        </w:rPr>
        <w:t xml:space="preserve">US$4.05B → $8.83B by 2030 (GVR)</w:t>
      </w:r>
      <w:r>
        <w:t xml:space="preserve"> </w:t>
      </w:r>
      <w:r>
        <w:t xml:space="preserve">to</w:t>
      </w:r>
      <w:r>
        <w:t xml:space="preserve"> </w:t>
      </w:r>
      <w:r>
        <w:rPr>
          <w:b/>
        </w:rPr>
        <w:t xml:space="preserve">US$24.7B by 2030 (MarketsandMarkets)</w:t>
      </w:r>
      <w:r>
        <w:t xml:space="preserve"> </w:t>
      </w:r>
      <w:r>
        <w:t xml:space="preserve">— an order-of-magnitude gap that reflects</w:t>
      </w:r>
      <w:r>
        <w:t xml:space="preserve"> </w:t>
      </w:r>
      <w:r>
        <w:rPr>
          <w:i/>
        </w:rPr>
        <w:t xml:space="preserve">scope-definition differences</w:t>
      </w:r>
      <w:r>
        <w:t xml:space="preserve">, not a real discrepancy (</w:t>
      </w:r>
      <w:hyperlink r:id="rId53">
        <w:r>
          <w:rPr>
            <w:rStyle w:val="Hyperlink"/>
          </w:rPr>
          <w:t xml:space="preserve">GVR</w:t>
        </w:r>
      </w:hyperlink>
      <w:r>
        <w:t xml:space="preserve">;</w:t>
      </w:r>
      <w:r>
        <w:t xml:space="preserve"> </w:t>
      </w:r>
      <w:hyperlink r:id="rId54">
        <w:r>
          <w:rPr>
            <w:rStyle w:val="Hyperlink"/>
          </w:rPr>
          <w:t xml:space="preserve">MarketsandMarkets</w:t>
        </w:r>
      </w:hyperlink>
      <w:r>
        <w:t xml:space="preserve">). Use the phosphoramidite-specific figures for this report and cite the adjacent ones only as context.</w:t>
      </w:r>
    </w:p>
    <w:p>
      <w:r>
        <w:pict>
          <v:rect style="width:0;height:1.5pt" o:hralign="center" o:hrstd="t" o:hr="t"/>
        </w:pict>
      </w:r>
    </w:p>
    <w:p>
      <w:pPr>
        <w:pStyle w:val="Heading2"/>
      </w:pPr>
      <w:bookmarkStart w:id="55" w:name="X4ba50ff1584134bc0d602282d241fda1de16bbf"/>
      <w:r>
        <w:t xml:space="preserve">6. Regulatory &amp; control status (the monitorability question)</w:t>
      </w:r>
      <w:bookmarkEnd w:id="55"/>
    </w:p>
    <w:p>
      <w:pPr>
        <w:numPr>
          <w:ilvl w:val="0"/>
          <w:numId w:val="1004"/>
        </w:numPr>
        <w:pStyle w:val="Compact"/>
      </w:pPr>
      <w:r>
        <w:rPr>
          <w:b/>
        </w:rPr>
        <w:t xml:space="preserve">Not export-controlled or scheduled.</w:t>
      </w:r>
      <w:r>
        <w:t xml:space="preserve"> </w:t>
      </w:r>
      <w:r>
        <w:t xml:space="preserve">A targeted search of the Australia Group control lists (which cover chemical-weapon</w:t>
      </w:r>
      <w:r>
        <w:t xml:space="preserve"> </w:t>
      </w:r>
      <w:r>
        <w:rPr>
          <w:i/>
        </w:rPr>
        <w:t xml:space="preserve">precursors</w:t>
      </w:r>
      <w:r>
        <w:t xml:space="preserve"> </w:t>
      </w:r>
      <w:r>
        <w:t xml:space="preserve">and dual-use bio equipment) and general US Commerce Control List material did</w:t>
      </w:r>
      <w:r>
        <w:t xml:space="preserve"> </w:t>
      </w:r>
      <w:r>
        <w:rPr>
          <w:b/>
        </w:rPr>
        <w:t xml:space="preserve">not</w:t>
      </w:r>
      <w:r>
        <w:t xml:space="preserve"> </w:t>
      </w:r>
      <w:r>
        <w:t xml:space="preserve">surface nucleoside phosphoramidites as controlled items — they are ordinary research chemicals, distinct from the specific toxic CW precursors the Australia Group lists (</w:t>
      </w:r>
      <w:hyperlink r:id="rId56">
        <w:r>
          <w:rPr>
            <w:rStyle w:val="Hyperlink"/>
          </w:rPr>
          <w:t xml:space="preserve">Australia Group — CW precursor list</w:t>
        </w:r>
      </w:hyperlink>
      <w:r>
        <w:t xml:space="preserve">;</w:t>
      </w:r>
      <w:r>
        <w:t xml:space="preserve"> </w:t>
      </w:r>
      <w:hyperlink r:id="rId57">
        <w:r>
          <w:rPr>
            <w:rStyle w:val="Hyperlink"/>
          </w:rPr>
          <w:t xml:space="preserve">Australia Group control lists</w:t>
        </w:r>
      </w:hyperlink>
      <w:r>
        <w:t xml:space="preserve">).</w:t>
      </w:r>
      <w:r>
        <w:t xml:space="preserve"> </w:t>
      </w:r>
      <w:r>
        <w:rPr>
          <w:i/>
        </w:rPr>
        <w:t xml:space="preserve">Framing note: this is a</w:t>
      </w:r>
      <w:r>
        <w:rPr>
          <w:i/>
        </w:rPr>
        <w:t xml:space="preserve"> </w:t>
      </w:r>
      <w:r>
        <w:rPr>
          <w:i/>
        </w:rPr>
        <w:t xml:space="preserve">“</w:t>
      </w:r>
      <w:r>
        <w:rPr>
          <w:i/>
        </w:rPr>
        <w:t xml:space="preserve">not found on the control lists</w:t>
      </w:r>
      <w:r>
        <w:rPr>
          <w:i/>
        </w:rPr>
        <w:t xml:space="preserve">”</w:t>
      </w:r>
      <w:r>
        <w:rPr>
          <w:i/>
        </w:rPr>
        <w:t xml:space="preserve"> </w:t>
      </w:r>
      <w:r>
        <w:rPr>
          <w:i/>
        </w:rPr>
        <w:t xml:space="preserve">finding, not a formal legal opinion — confirm with an export-control officer before asserting it definitively (see Contacts).</w:t>
      </w:r>
    </w:p>
    <w:p>
      <w:pPr>
        <w:numPr>
          <w:ilvl w:val="0"/>
          <w:numId w:val="1004"/>
        </w:numPr>
        <w:pStyle w:val="Compact"/>
      </w:pPr>
      <w:r>
        <w:rPr>
          <w:b/>
        </w:rPr>
        <w:t xml:space="preserve">No purchase-side KYC.</w:t>
      </w:r>
      <w:r>
        <w:t xml:space="preserve"> </w:t>
      </w:r>
      <w:r>
        <w:t xml:space="preserve">There is no know-your-customer or licensing requirement to buy phosphoramidites. The screening regime that</w:t>
      </w:r>
      <w:r>
        <w:t xml:space="preserve"> </w:t>
      </w:r>
      <w:r>
        <w:rPr>
          <w:i/>
        </w:rPr>
        <w:t xml:space="preserve">does</w:t>
      </w:r>
      <w:r>
        <w:t xml:space="preserve"> </w:t>
      </w:r>
      <w:r>
        <w:t xml:space="preserve">exist — IGSC’s Harmonized Protocol and the OSTP Framework — screens the</w:t>
      </w:r>
      <w:r>
        <w:t xml:space="preserve"> </w:t>
      </w:r>
      <w:r>
        <w:rPr>
          <w:b/>
        </w:rPr>
        <w:t xml:space="preserve">synthesized sequence</w:t>
      </w:r>
      <w:r>
        <w:t xml:space="preserve"> </w:t>
      </w:r>
      <w:r>
        <w:t xml:space="preserve">and the</w:t>
      </w:r>
      <w:r>
        <w:t xml:space="preserve"> </w:t>
      </w:r>
      <w:r>
        <w:rPr>
          <w:b/>
        </w:rPr>
        <w:t xml:space="preserve">customer of a synthesis order</w:t>
      </w:r>
      <w:r>
        <w:t xml:space="preserve">, not the reagent buyer (</w:t>
      </w:r>
      <w:hyperlink r:id="rId58">
        <w:r>
          <w:rPr>
            <w:rStyle w:val="Hyperlink"/>
          </w:rPr>
          <w:t xml:space="preserve">OSTP Framework, Sept 2024</w:t>
        </w:r>
      </w:hyperlink>
      <w:r>
        <w:t xml:space="preserve">;</w:t>
      </w:r>
      <w:r>
        <w:t xml:space="preserve"> </w:t>
      </w:r>
      <w:hyperlink r:id="rId59">
        <w:r>
          <w:rPr>
            <w:rStyle w:val="Hyperlink"/>
          </w:rPr>
          <w:t xml:space="preserve">IBBIS Common Mechanism</w:t>
        </w:r>
      </w:hyperlink>
      <w:r>
        <w:t xml:space="preserve">).</w:t>
      </w:r>
    </w:p>
    <w:p>
      <w:pPr>
        <w:numPr>
          <w:ilvl w:val="0"/>
          <w:numId w:val="1004"/>
        </w:numPr>
        <w:pStyle w:val="Compact"/>
      </w:pPr>
      <w:r>
        <w:rPr>
          <w:b/>
        </w:rPr>
        <w:t xml:space="preserve">Why governance deliberately avoids reagent controls.</w:t>
      </w:r>
      <w:r>
        <w:t xml:space="preserve"> </w:t>
      </w:r>
      <w:r>
        <w:t xml:space="preserve">Biosecurity policy converges on screening sequences and devices rather than reagents, because</w:t>
      </w:r>
      <w:r>
        <w:t xml:space="preserve"> </w:t>
      </w:r>
      <w:r>
        <w:rPr>
          <w:i/>
        </w:rPr>
        <w:t xml:space="preserve">restrictions on tangible, ubiquitous dual-use items are easy to circumvent and would burden overwhelmingly legitimate use</w:t>
      </w:r>
      <w:r>
        <w:t xml:space="preserve"> </w:t>
      </w:r>
      <w:r>
        <w:t xml:space="preserve">(</w:t>
      </w:r>
      <w:hyperlink r:id="rId60">
        <w:r>
          <w:rPr>
            <w:rStyle w:val="Hyperlink"/>
          </w:rPr>
          <w:t xml:space="preserve">Diggans &amp; Leproust-type analysis /</w:t>
        </w:r>
        <w:r>
          <w:rPr>
            <w:rStyle w:val="Hyperlink"/>
          </w:rPr>
          <w:t xml:space="preserve"> </w:t>
        </w:r>
        <w:r>
          <w:rPr>
            <w:rStyle w:val="Hyperlink"/>
          </w:rPr>
          <w:t xml:space="preserve">“</w:t>
        </w:r>
        <w:r>
          <w:rPr>
            <w:rStyle w:val="Hyperlink"/>
          </w:rPr>
          <w:t xml:space="preserve">Practical Questions for Securing Nucleic Acid Synthesis,</w:t>
        </w:r>
        <w:r>
          <w:rPr>
            <w:rStyle w:val="Hyperlink"/>
          </w:rPr>
          <w:t xml:space="preserve">”</w:t>
        </w:r>
        <w:r>
          <w:rPr>
            <w:rStyle w:val="Hyperlink"/>
          </w:rPr>
          <w:t xml:space="preserve"> </w:t>
        </w:r>
        <w:r>
          <w:rPr>
            <w:rStyle w:val="Hyperlink"/>
          </w:rPr>
          <w:t xml:space="preserve">PMC11447131</w:t>
        </w:r>
      </w:hyperlink>
      <w:r>
        <w:t xml:space="preserve">;</w:t>
      </w:r>
      <w:r>
        <w:t xml:space="preserve"> </w:t>
      </w:r>
      <w:hyperlink r:id="rId61">
        <w:r>
          <w:rPr>
            <w:rStyle w:val="Hyperlink"/>
          </w:rPr>
          <w:t xml:space="preserve">risk-based oversight framework,</w:t>
        </w:r>
        <w:r>
          <w:rPr>
            <w:rStyle w:val="Hyperlink"/>
          </w:rPr>
          <w:t xml:space="preserve"> </w:t>
        </w:r>
        <w:r>
          <w:rPr>
            <w:rStyle w:val="Hyperlink"/>
            <w:i/>
          </w:rPr>
          <w:t xml:space="preserve">Frontiers</w:t>
        </w:r>
        <w:r>
          <w:rPr>
            <w:rStyle w:val="Hyperlink"/>
          </w:rPr>
          <w:t xml:space="preserve"> </w:t>
        </w:r>
        <w:r>
          <w:rPr>
            <w:rStyle w:val="Hyperlink"/>
          </w:rPr>
          <w:t xml:space="preserve">2026</w:t>
        </w:r>
      </w:hyperlink>
      <w:r>
        <w:t xml:space="preserve">).</w:t>
      </w:r>
    </w:p>
    <w:p>
      <w:r>
        <w:pict>
          <v:rect style="width:0;height:1.5pt" o:hralign="center" o:hrstd="t" o:hr="t"/>
        </w:pict>
      </w:r>
    </w:p>
    <w:p>
      <w:pPr>
        <w:pStyle w:val="Heading2"/>
      </w:pPr>
      <w:bookmarkStart w:id="62" w:name="Xab9dee28d00314c0b2aff43a381b0c2ce0c561a"/>
      <w:r>
        <w:t xml:space="preserve">7. Biosecurity risk /</w:t>
      </w:r>
      <w:r>
        <w:t xml:space="preserve"> </w:t>
      </w:r>
      <w:r>
        <w:t xml:space="preserve">“</w:t>
      </w:r>
      <w:r>
        <w:t xml:space="preserve">how dangerous</w:t>
      </w:r>
      <w:r>
        <w:t xml:space="preserve">”</w:t>
      </w:r>
      <w:r>
        <w:t xml:space="preserve"> </w:t>
      </w:r>
      <w:r>
        <w:t xml:space="preserve">— calibrated</w:t>
      </w:r>
      <w:bookmarkEnd w:id="62"/>
    </w:p>
    <w:p>
      <w:pPr>
        <w:pStyle w:val="FirstParagraph"/>
      </w:pPr>
      <w:r>
        <w:rPr>
          <w:b/>
        </w:rPr>
        <w:t xml:space="preserve">As a misuse-control lever: LOW.</w:t>
      </w:r>
      <w:r>
        <w:t xml:space="preserve"> </w:t>
      </w:r>
      <w:r>
        <w:t xml:space="preserve">Reasons, each evidenced:</w:t>
      </w:r>
    </w:p>
    <w:p>
      <w:pPr>
        <w:numPr>
          <w:ilvl w:val="0"/>
          <w:numId w:val="1005"/>
        </w:numPr>
        <w:pStyle w:val="Compact"/>
      </w:pPr>
      <w:r>
        <w:rPr>
          <w:b/>
        </w:rPr>
        <w:t xml:space="preserve">Commodity &amp; multi-sourced</w:t>
      </w:r>
      <w:r>
        <w:t xml:space="preserve"> </w:t>
      </w:r>
      <w:r>
        <w:t xml:space="preserve">— a dozen-plus independent global suppliers (§4); restricting one is routed around.</w:t>
      </w:r>
    </w:p>
    <w:p>
      <w:pPr>
        <w:numPr>
          <w:ilvl w:val="0"/>
          <w:numId w:val="1005"/>
        </w:numPr>
        <w:pStyle w:val="Compact"/>
      </w:pPr>
      <w:r>
        <w:rPr>
          <w:b/>
        </w:rPr>
        <w:t xml:space="preserve">Substitutable at the reagent level</w:t>
      </w:r>
      <w:r>
        <w:t xml:space="preserve"> </w:t>
      </w:r>
      <w:r>
        <w:t xml:space="preserve">— phosphoramidites can be synthesized</w:t>
      </w:r>
      <w:r>
        <w:t xml:space="preserve"> </w:t>
      </w:r>
      <w:r>
        <w:rPr>
          <w:i/>
        </w:rPr>
        <w:t xml:space="preserve">on demand</w:t>
      </w:r>
      <w:r>
        <w:t xml:space="preserve"> </w:t>
      </w:r>
      <w:r>
        <w:t xml:space="preserve">from more stable parent alcohols in flow, near-quantitatively and without purification,</w:t>
      </w:r>
      <w:r>
        <w:t xml:space="preserve"> </w:t>
      </w:r>
      <w:r>
        <w:t xml:space="preserve">“</w:t>
      </w:r>
      <w:r>
        <w:t xml:space="preserve">potentially operated by non-chemists,</w:t>
      </w:r>
      <w:r>
        <w:t xml:space="preserve">”</w:t>
      </w:r>
      <w:r>
        <w:t xml:space="preserve"> </w:t>
      </w:r>
      <w:r>
        <w:t xml:space="preserve">removing the storage/stability barrier that is a reagent-supply’s only natural friction (</w:t>
      </w:r>
      <w:hyperlink r:id="rId22">
        <w:r>
          <w:rPr>
            <w:rStyle w:val="Hyperlink"/>
          </w:rPr>
          <w:t xml:space="preserve">Sandahl, Nguyen, Hansen, Johansen, Skrydstrup &amp; Gothelf, 2021,</w:t>
        </w:r>
        <w:r>
          <w:rPr>
            <w:rStyle w:val="Hyperlink"/>
          </w:rPr>
          <w:t xml:space="preserve"> </w:t>
        </w:r>
        <w:r>
          <w:rPr>
            <w:rStyle w:val="Hyperlink"/>
            <w:i/>
          </w:rPr>
          <w:t xml:space="preserve">Nat. Commun.</w:t>
        </w:r>
        <w:r>
          <w:rPr>
            <w:rStyle w:val="Hyperlink"/>
          </w:rPr>
          <w:t xml:space="preserve"> </w:t>
        </w:r>
        <w:r>
          <w:rPr>
            <w:rStyle w:val="Hyperlink"/>
          </w:rPr>
          <w:t xml:space="preserve">12:2760</w:t>
        </w:r>
      </w:hyperlink>
      <w:r>
        <w:t xml:space="preserve">).</w:t>
      </w:r>
    </w:p>
    <w:p>
      <w:pPr>
        <w:numPr>
          <w:ilvl w:val="0"/>
          <w:numId w:val="1005"/>
        </w:numPr>
        <w:pStyle w:val="Compact"/>
      </w:pPr>
      <w:r>
        <w:rPr>
          <w:b/>
        </w:rPr>
        <w:t xml:space="preserve">Substitutable at the solvent level</w:t>
      </w:r>
      <w:r>
        <w:t xml:space="preserve"> </w:t>
      </w:r>
      <w:r>
        <w:t xml:space="preserve">— the associated solvent (acetonitrile) can be replaced by propylene carbonate, an unregulated GRAS food additive, in DIY synthesis (</w:t>
      </w:r>
      <w:hyperlink r:id="rId23">
        <w:r>
          <w:rPr>
            <w:rStyle w:val="Hyperlink"/>
          </w:rPr>
          <w:t xml:space="preserve">Kim, Kim &amp; Bang, 2024</w:t>
        </w:r>
      </w:hyperlink>
      <w:r>
        <w:t xml:space="preserve">).</w:t>
      </w:r>
    </w:p>
    <w:p>
      <w:pPr>
        <w:numPr>
          <w:ilvl w:val="0"/>
          <w:numId w:val="1005"/>
        </w:numPr>
        <w:pStyle w:val="Compact"/>
      </w:pPr>
      <w:r>
        <w:rPr>
          <w:b/>
        </w:rPr>
        <w:t xml:space="preserve">Legitimate demand dwarfs any misuse signal</w:t>
      </w:r>
      <w:r>
        <w:t xml:space="preserve"> </w:t>
      </w:r>
      <w:r>
        <w:t xml:space="preserve">— a ~$1.1B and double-digit-growth market driven by therapeutics/diagnostics/research (§5) means purchase data carries essentially no discriminating signal for misuse.</w:t>
      </w:r>
    </w:p>
    <w:p>
      <w:pPr>
        <w:numPr>
          <w:ilvl w:val="0"/>
          <w:numId w:val="1005"/>
        </w:numPr>
        <w:pStyle w:val="Compact"/>
      </w:pPr>
      <w:r>
        <w:rPr>
          <w:b/>
        </w:rPr>
        <w:t xml:space="preserve">The reagent is not itself hazardous</w:t>
      </w:r>
      <w:r>
        <w:t xml:space="preserve"> </w:t>
      </w:r>
      <w:r>
        <w:t xml:space="preserve">— phosphoramidites are lab chemicals, not toxins or weapons; their only biosecurity relevance is as an</w:t>
      </w:r>
      <w:r>
        <w:t xml:space="preserve"> </w:t>
      </w:r>
      <w:r>
        <w:rPr>
          <w:i/>
        </w:rPr>
        <w:t xml:space="preserve">enabler</w:t>
      </w:r>
      <w:r>
        <w:t xml:space="preserve"> </w:t>
      </w:r>
      <w:r>
        <w:t xml:space="preserve">of synthesis, and synthesis is better governed downstream (sequence + device).</w:t>
      </w:r>
    </w:p>
    <w:p>
      <w:pPr>
        <w:pStyle w:val="FirstParagraph"/>
      </w:pPr>
      <w:r>
        <w:t xml:space="preserve">This directly corroborates the project’s Chapter 2 conclusion that</w:t>
      </w:r>
      <w:r>
        <w:t xml:space="preserve"> </w:t>
      </w:r>
      <w:r>
        <w:rPr>
          <w:i/>
        </w:rPr>
        <w:t xml:space="preserve">supply-chain restriction is not a durable control point under either regime.</w:t>
      </w:r>
    </w:p>
    <w:p>
      <w:pPr>
        <w:pStyle w:val="BodyText"/>
      </w:pPr>
      <w:r>
        <w:rPr>
          <w:b/>
        </w:rPr>
        <w:t xml:space="preserve">As a supply-chain-resilience issue: MEDIUM — but a different problem.</w:t>
      </w:r>
      <w:r>
        <w:t xml:space="preserve"> </w:t>
      </w:r>
      <w:r>
        <w:t xml:space="preserve">The bulk/GMP amidite supply is geographically concentrated, with a growing Chinese role, which is why: the US has reportedly moved to reshore a</w:t>
      </w:r>
      <w:r>
        <w:t xml:space="preserve"> </w:t>
      </w:r>
      <w:r>
        <w:rPr>
          <w:i/>
        </w:rPr>
        <w:t xml:space="preserve">domestic amidite supply chain</w:t>
      </w:r>
      <w:r>
        <w:t xml:space="preserve"> </w:t>
      </w:r>
      <w:r>
        <w:t xml:space="preserve">(a market report cites ARPA-H FY2025 ~US$1.5B RNA infrastructure with ~US$320M toward domestic amidite supply —</w:t>
      </w:r>
      <w:r>
        <w:t xml:space="preserve"> </w:t>
      </w:r>
      <w:r>
        <w:rPr>
          <w:b/>
        </w:rPr>
        <w:t xml:space="preserve">[UNVERIFIED against an ARPA-H primary source]</w:t>
      </w:r>
      <w:r>
        <w:t xml:space="preserve">,</w:t>
      </w:r>
      <w:r>
        <w:t xml:space="preserve"> </w:t>
      </w:r>
      <w:hyperlink r:id="rId46">
        <w:r>
          <w:rPr>
            <w:rStyle w:val="Hyperlink"/>
          </w:rPr>
          <w:t xml:space="preserve">Mordor Intelligence</w:t>
        </w:r>
      </w:hyperlink>
      <w:r>
        <w:t xml:space="preserve">); and the</w:t>
      </w:r>
      <w:r>
        <w:t xml:space="preserve"> </w:t>
      </w:r>
      <w:r>
        <w:rPr>
          <w:b/>
        </w:rPr>
        <w:t xml:space="preserve">BIOSECURE Act</w:t>
      </w:r>
      <w:r>
        <w:t xml:space="preserve"> </w:t>
      </w:r>
      <w:r>
        <w:t xml:space="preserve">(reported enacted via the FY2026 NDAA around Dec 2025 —</w:t>
      </w:r>
      <w:r>
        <w:t xml:space="preserve"> </w:t>
      </w:r>
      <w:r>
        <w:rPr>
          <w:b/>
        </w:rPr>
        <w:t xml:space="preserve">[confirm final statutory text/date]</w:t>
      </w:r>
      <w:r>
        <w:t xml:space="preserve">,</w:t>
      </w:r>
      <w:r>
        <w:t xml:space="preserve"> </w:t>
      </w:r>
      <w:hyperlink r:id="rId63">
        <w:r>
          <w:rPr>
            <w:rStyle w:val="Hyperlink"/>
          </w:rPr>
          <w:t xml:space="preserve">Greenberg Traurig advisory</w:t>
        </w:r>
      </w:hyperlink>
      <w:r>
        <w:t xml:space="preserve">) targets named Chinese biotech firms. This is economic/drug-security policy,</w:t>
      </w:r>
      <w:r>
        <w:t xml:space="preserve"> </w:t>
      </w:r>
      <w:r>
        <w:rPr>
          <w:b/>
        </w:rPr>
        <w:t xml:space="preserve">not</w:t>
      </w:r>
      <w:r>
        <w:t xml:space="preserve"> </w:t>
      </w:r>
      <w:r>
        <w:t xml:space="preserve">a misuse chokepoint, and should be labelled as such in the thesis so the two risks are not conflated.</w:t>
      </w:r>
    </w:p>
    <w:p>
      <w:r>
        <w:pict>
          <v:rect style="width:0;height:1.5pt" o:hralign="center" o:hrstd="t" o:hr="t"/>
        </w:pict>
      </w:r>
    </w:p>
    <w:p>
      <w:pPr>
        <w:pStyle w:val="Heading2"/>
      </w:pPr>
      <w:bookmarkStart w:id="64" w:name="monitoring-feasibility-realistic-options"/>
      <w:r>
        <w:t xml:space="preserve">8. Monitoring feasibility &amp; realistic options</w:t>
      </w:r>
      <w:bookmarkEnd w:id="64"/>
    </w:p>
    <w:p>
      <w:pPr>
        <w:pStyle w:val="FirstParagraph"/>
      </w:pPr>
      <w:r>
        <w:t xml:space="preserve">Given §6–7, monitoring</w:t>
      </w:r>
      <w:r>
        <w:t xml:space="preserve"> </w:t>
      </w:r>
      <w:r>
        <w:rPr>
          <w:i/>
        </w:rPr>
        <w:t xml:space="preserve">who buys phosphoramidites</w:t>
      </w:r>
      <w:r>
        <w:t xml:space="preserve"> </w:t>
      </w:r>
      <w:r>
        <w:t xml:space="preserve">is largely infeasible and low-value as a biosecurity measure:</w:t>
      </w:r>
    </w:p>
    <w:p>
      <w:pPr>
        <w:numPr>
          <w:ilvl w:val="0"/>
          <w:numId w:val="1006"/>
        </w:numPr>
        <w:pStyle w:val="Compact"/>
      </w:pPr>
      <w:r>
        <w:rPr>
          <w:b/>
        </w:rPr>
        <w:t xml:space="preserve">What would be required:</w:t>
      </w:r>
      <w:r>
        <w:t xml:space="preserve"> </w:t>
      </w:r>
      <w:r>
        <w:t xml:space="preserve">a KYC/registration regime on reagent sales (none exists), harmonised internationally (or buyers shift to foreign suppliers), covering both finished amidites</w:t>
      </w:r>
      <w:r>
        <w:t xml:space="preserve"> </w:t>
      </w:r>
      <w:r>
        <w:rPr>
          <w:i/>
        </w:rPr>
        <w:t xml:space="preserve">and</w:t>
      </w:r>
      <w:r>
        <w:t xml:space="preserve"> </w:t>
      </w:r>
      <w:r>
        <w:t xml:space="preserve">the parent alcohols/precursors (or on-demand synthesis routes around it). The cost/burden falls almost entirely on legitimate users.</w:t>
      </w:r>
    </w:p>
    <w:p>
      <w:pPr>
        <w:numPr>
          <w:ilvl w:val="0"/>
          <w:numId w:val="1006"/>
        </w:numPr>
        <w:pStyle w:val="Compact"/>
      </w:pPr>
      <w:r>
        <w:rPr>
          <w:b/>
        </w:rPr>
        <w:t xml:space="preserve">Why it fails:</w:t>
      </w:r>
      <w:r>
        <w:t xml:space="preserve"> </w:t>
      </w:r>
      <w:r>
        <w:t xml:space="preserve">the same substitutability and legitimate-demand arguments in §7; a reagent-purchase signal cannot distinguish a benign lab from a misuse actor.</w:t>
      </w:r>
    </w:p>
    <w:p>
      <w:pPr>
        <w:numPr>
          <w:ilvl w:val="0"/>
          <w:numId w:val="1006"/>
        </w:numPr>
        <w:pStyle w:val="Compact"/>
      </w:pPr>
      <w:r>
        <w:rPr>
          <w:b/>
        </w:rPr>
        <w:t xml:space="preserve">Where monitoring</w:t>
      </w:r>
      <w:r>
        <w:rPr>
          <w:b/>
        </w:rPr>
        <w:t xml:space="preserve"> </w:t>
      </w:r>
      <w:r>
        <w:rPr>
          <w:i/>
          <w:b/>
        </w:rPr>
        <w:t xml:space="preserve">is</w:t>
      </w:r>
      <w:r>
        <w:rPr>
          <w:b/>
        </w:rPr>
        <w:t xml:space="preserve"> </w:t>
      </w:r>
      <w:r>
        <w:rPr>
          <w:b/>
        </w:rPr>
        <w:t xml:space="preserve">tractable and already the focus:</w:t>
      </w:r>
      <w:r>
        <w:t xml:space="preserve"> </w:t>
      </w:r>
      <w:r>
        <w:t xml:space="preserve">the</w:t>
      </w:r>
      <w:r>
        <w:t xml:space="preserve"> </w:t>
      </w:r>
      <w:r>
        <w:rPr>
          <w:b/>
        </w:rPr>
        <w:t xml:space="preserve">synthesis order</w:t>
      </w:r>
      <w:r>
        <w:t xml:space="preserve"> </w:t>
      </w:r>
      <w:r>
        <w:t xml:space="preserve">(sequence + customer screening, IGSC/OSTP), the</w:t>
      </w:r>
      <w:r>
        <w:t xml:space="preserve"> </w:t>
      </w:r>
      <w:r>
        <w:rPr>
          <w:b/>
        </w:rPr>
        <w:t xml:space="preserve">device</w:t>
      </w:r>
      <w:r>
        <w:t xml:space="preserve"> </w:t>
      </w:r>
      <w:r>
        <w:t xml:space="preserve">(on-device screening for benchtop synthesizers), and</w:t>
      </w:r>
      <w:r>
        <w:t xml:space="preserve"> </w:t>
      </w:r>
      <w:r>
        <w:rPr>
          <w:b/>
        </w:rPr>
        <w:t xml:space="preserve">post-hoc attribution</w:t>
      </w:r>
      <w:r>
        <w:t xml:space="preserve"> </w:t>
      </w:r>
      <w:r>
        <w:t xml:space="preserve">(this project’s Chapter 4). Reagent monitoring, if pursued at all, is a distant fourth and mainly useful for</w:t>
      </w:r>
      <w:r>
        <w:t xml:space="preserve"> </w:t>
      </w:r>
      <w:r>
        <w:rPr>
          <w:i/>
        </w:rPr>
        <w:t xml:space="preserve">supply-chain resilience</w:t>
      </w:r>
      <w:r>
        <w:t xml:space="preserve"> </w:t>
      </w:r>
      <w:r>
        <w:t xml:space="preserve">(mapping dependency on Chinese bulk suppliers), not misuse detection.</w:t>
      </w:r>
    </w:p>
    <w:p>
      <w:pPr>
        <w:pStyle w:val="FirstParagraph"/>
      </w:pPr>
      <w:r>
        <w:rPr>
          <w:b/>
        </w:rPr>
        <w:t xml:space="preserve">Recommended framing for the thesis:</w:t>
      </w:r>
      <w:r>
        <w:t xml:space="preserve"> </w:t>
      </w:r>
      <w:r>
        <w:t xml:space="preserve">treat phosphoramidite supply as (a) confirming the</w:t>
      </w:r>
      <w:r>
        <w:t xml:space="preserve"> </w:t>
      </w:r>
      <w:r>
        <w:t xml:space="preserve">“</w:t>
      </w:r>
      <w:r>
        <w:t xml:space="preserve">reagent restriction is not durable</w:t>
      </w:r>
      <w:r>
        <w:t xml:space="preserve">”</w:t>
      </w:r>
      <w:r>
        <w:t xml:space="preserve"> </w:t>
      </w:r>
      <w:r>
        <w:t xml:space="preserve">finding, and (b) a separate resilience/economic-security note about Chinese bulk concentration — explicitly</w:t>
      </w:r>
      <w:r>
        <w:t xml:space="preserve"> </w:t>
      </w:r>
      <w:r>
        <w:rPr>
          <w:i/>
        </w:rPr>
        <w:t xml:space="preserve">not</w:t>
      </w:r>
      <w:r>
        <w:t xml:space="preserve"> </w:t>
      </w:r>
      <w:r>
        <w:t xml:space="preserve">a monitorable misuse chokepoint.</w:t>
      </w:r>
    </w:p>
    <w:p>
      <w:r>
        <w:pict>
          <v:rect style="width:0;height:1.5pt" o:hralign="center" o:hrstd="t" o:hr="t"/>
        </w:pict>
      </w:r>
    </w:p>
    <w:p>
      <w:pPr>
        <w:pStyle w:val="Heading2"/>
      </w:pPr>
      <w:bookmarkStart w:id="65" w:name="contacts-where-to-dig-further"/>
      <w:r>
        <w:t xml:space="preserve">9. Contacts / where to dig further</w:t>
      </w:r>
      <w:bookmarkEnd w:id="65"/>
    </w:p>
    <w:p>
      <w:pPr>
        <w:pStyle w:val="FirstParagraph"/>
      </w:pPr>
      <w:r>
        <w:t xml:space="preserve">For figures that are not public (production volumes, buyer lists, real diversion data, licensed market data):</w:t>
      </w:r>
    </w:p>
    <w:p>
      <w:pPr>
        <w:numPr>
          <w:ilvl w:val="0"/>
          <w:numId w:val="1007"/>
        </w:numPr>
        <w:pStyle w:val="Compact"/>
      </w:pPr>
      <w:r>
        <w:rPr>
          <w:b/>
        </w:rPr>
        <w:t xml:space="preserve">IBBIS — International Biosecurity and Biosafety Initiative for Science</w:t>
      </w:r>
      <w:r>
        <w:t xml:space="preserve"> </w:t>
      </w:r>
      <w:r>
        <w:t xml:space="preserve">(Piers Millett, Exec. Dir.) — authoritative on why governance screens sequences/devices not reagents; your infohazard-review body.</w:t>
      </w:r>
      <w:r>
        <w:t xml:space="preserve"> </w:t>
      </w:r>
      <w:hyperlink r:id="rId66">
        <w:r>
          <w:rPr>
            <w:rStyle w:val="Hyperlink"/>
          </w:rPr>
          <w:t xml:space="preserve">ibbis.bio</w:t>
        </w:r>
      </w:hyperlink>
    </w:p>
    <w:p>
      <w:pPr>
        <w:numPr>
          <w:ilvl w:val="0"/>
          <w:numId w:val="1007"/>
        </w:numPr>
        <w:pStyle w:val="Compact"/>
      </w:pPr>
      <w:r>
        <w:rPr>
          <w:b/>
        </w:rPr>
        <w:t xml:space="preserve">NTI | bio (Nuclear Threat Initiative)</w:t>
      </w:r>
      <w:r>
        <w:t xml:space="preserve"> </w:t>
      </w:r>
      <w:r>
        <w:t xml:space="preserve">— benchtop-synthesis and supply-chain governance reports; the original convenor of the DNA-synthesis screening consortium.</w:t>
      </w:r>
      <w:r>
        <w:t xml:space="preserve"> </w:t>
      </w:r>
      <w:hyperlink r:id="rId67">
        <w:r>
          <w:rPr>
            <w:rStyle w:val="Hyperlink"/>
          </w:rPr>
          <w:t xml:space="preserve">nti.org/about/biosecurity</w:t>
        </w:r>
      </w:hyperlink>
    </w:p>
    <w:p>
      <w:pPr>
        <w:numPr>
          <w:ilvl w:val="0"/>
          <w:numId w:val="1007"/>
        </w:numPr>
        <w:pStyle w:val="Compact"/>
      </w:pPr>
      <w:r>
        <w:rPr>
          <w:b/>
        </w:rPr>
        <w:t xml:space="preserve">Rob Carlson — synthesis.cc / Planetary Technologies</w:t>
      </w:r>
      <w:r>
        <w:t xml:space="preserve"> </w:t>
      </w:r>
      <w:r>
        <w:t xml:space="preserve">— the authority on DNA-synthesis cost and market trajectories; for reconciling the vendor market-size spread in §5. https://www.synthesis.cc</w:t>
      </w:r>
    </w:p>
    <w:p>
      <w:pPr>
        <w:numPr>
          <w:ilvl w:val="0"/>
          <w:numId w:val="1007"/>
        </w:numPr>
        <w:pStyle w:val="Compact"/>
      </w:pPr>
      <w:r>
        <w:rPr>
          <w:b/>
        </w:rPr>
        <w:t xml:space="preserve">Prof. Kurt V. Gothelf — Aarhus University (iNANO)</w:t>
      </w:r>
      <w:r>
        <w:t xml:space="preserve"> </w:t>
      </w:r>
      <w:r>
        <w:t xml:space="preserve">— senior author of the on-demand phosphoramidite-synthesis paper (§7); the person to ask on how far reagent substitutability has advanced. https://chem.au.dk/en/kvg</w:t>
      </w:r>
    </w:p>
    <w:p>
      <w:pPr>
        <w:numPr>
          <w:ilvl w:val="0"/>
          <w:numId w:val="1007"/>
        </w:numPr>
        <w:pStyle w:val="Compact"/>
      </w:pPr>
      <w:r>
        <w:rPr>
          <w:b/>
        </w:rPr>
        <w:t xml:space="preserve">Market-research firms (Grand View Research, Mordor Intelligence, Coherent Market Insights, GMInsights)</w:t>
      </w:r>
      <w:r>
        <w:t xml:space="preserve"> </w:t>
      </w:r>
      <w:r>
        <w:t xml:space="preserve">— hold the licensed, full market data behind the paywalled summaries; the source for verifying the top-6 concentration and regional shares. (Free press releases only give headline numbers.)</w:t>
      </w:r>
    </w:p>
    <w:p>
      <w:pPr>
        <w:numPr>
          <w:ilvl w:val="0"/>
          <w:numId w:val="1007"/>
        </w:numPr>
        <w:pStyle w:val="Compact"/>
      </w:pPr>
      <w:r>
        <w:rPr>
          <w:b/>
        </w:rPr>
        <w:t xml:space="preserve">ISPE / the oligonucleotide-manufacturing community and the TIDES conference</w:t>
      </w:r>
      <w:r>
        <w:t xml:space="preserve"> </w:t>
      </w:r>
      <w:r>
        <w:t xml:space="preserve">— for real bulk/GMP capacity data and the upstream-vs-formulation concentration question (§3). https://ispe.org</w:t>
      </w:r>
    </w:p>
    <w:p>
      <w:pPr>
        <w:numPr>
          <w:ilvl w:val="0"/>
          <w:numId w:val="1007"/>
        </w:numPr>
        <w:pStyle w:val="Compact"/>
      </w:pPr>
      <w:r>
        <w:rPr>
          <w:b/>
        </w:rPr>
        <w:t xml:space="preserve">ARPA-H</w:t>
      </w:r>
      <w:r>
        <w:t xml:space="preserve"> </w:t>
      </w:r>
      <w:r>
        <w:t xml:space="preserve">— to confirm the reported ~$320M</w:t>
      </w:r>
      <w:r>
        <w:t xml:space="preserve"> </w:t>
      </w:r>
      <w:r>
        <w:t xml:space="preserve">“</w:t>
      </w:r>
      <w:r>
        <w:t xml:space="preserve">domestic amidite supply chain</w:t>
      </w:r>
      <w:r>
        <w:t xml:space="preserve">”</w:t>
      </w:r>
      <w:r>
        <w:t xml:space="preserve"> </w:t>
      </w:r>
      <w:r>
        <w:t xml:space="preserve">figure (§7) against a primary source. https://arpa-h.gov</w:t>
      </w:r>
    </w:p>
    <w:p>
      <w:pPr>
        <w:numPr>
          <w:ilvl w:val="0"/>
          <w:numId w:val="1007"/>
        </w:numPr>
        <w:pStyle w:val="Compact"/>
      </w:pPr>
      <w:r>
        <w:rPr>
          <w:b/>
        </w:rPr>
        <w:t xml:space="preserve">An institutional export-control officer / BIS (US Bureau of Industry and Security)</w:t>
      </w:r>
      <w:r>
        <w:t xml:space="preserve"> </w:t>
      </w:r>
      <w:r>
        <w:t xml:space="preserve">— to obtain a formal statement that phosphoramidites are not on the CCL/Australia Group lists (§6), rather than relying on a</w:t>
      </w:r>
      <w:r>
        <w:t xml:space="preserve"> </w:t>
      </w:r>
      <w:r>
        <w:t xml:space="preserve">“</w:t>
      </w:r>
      <w:r>
        <w:t xml:space="preserve">not found in search</w:t>
      </w:r>
      <w:r>
        <w:t xml:space="preserve">”</w:t>
      </w:r>
      <w:r>
        <w:t xml:space="preserve"> </w:t>
      </w:r>
      <w:r>
        <w:t xml:space="preserve">result.</w:t>
      </w:r>
    </w:p>
    <w:p>
      <w:pPr>
        <w:numPr>
          <w:ilvl w:val="0"/>
          <w:numId w:val="1007"/>
        </w:numPr>
        <w:pStyle w:val="Compact"/>
      </w:pPr>
      <w:r>
        <w:rPr>
          <w:b/>
        </w:rPr>
        <w:t xml:space="preserve">Hongene Biotech, WuXi STA, Nitto Avecia (investor-relations/press)</w:t>
      </w:r>
      <w:r>
        <w:t xml:space="preserve"> </w:t>
      </w:r>
      <w:r>
        <w:t xml:space="preserve">— for company-confirmed capacity numbers beyond the one verified figure (Hongene 58 t/yr).</w:t>
      </w:r>
    </w:p>
    <w:p>
      <w:r>
        <w:pict>
          <v:rect style="width:0;height:1.5pt" o:hralign="center" o:hrstd="t" o:hr="t"/>
        </w:pict>
      </w:r>
    </w:p>
    <w:p>
      <w:pPr>
        <w:pStyle w:val="Heading2"/>
      </w:pPr>
      <w:bookmarkStart w:id="68" w:name="references"/>
      <w:r>
        <w:t xml:space="preserve">10. References</w:t>
      </w:r>
      <w:bookmarkEnd w:id="68"/>
    </w:p>
    <w:p>
      <w:pPr>
        <w:pStyle w:val="FirstParagraph"/>
      </w:pPr>
      <w:r>
        <w:rPr>
          <w:b/>
        </w:rPr>
        <w:t xml:space="preserve">Peer-reviewed / primary</w:t>
      </w:r>
      <w:r>
        <w:t xml:space="preserve"> </w:t>
      </w:r>
      <w:r>
        <w:t xml:space="preserve">- Sandahl, A. F., Nguyen, T. J. D., Hansen, R. A., Johansen, M. B., Skrydstrup, T., &amp; Gothelf, K. V. (2021). On-demand synthesis of phosphoramidites.</w:t>
      </w:r>
      <w:r>
        <w:t xml:space="preserve"> </w:t>
      </w:r>
      <w:r>
        <w:rPr>
          <w:i/>
        </w:rPr>
        <w:t xml:space="preserve">Nature Communications</w:t>
      </w:r>
      <w:r>
        <w:t xml:space="preserve">, 12, 2760. https://doi.org/10.1038/s41467-021-22945-z</w:t>
      </w:r>
      <w:r>
        <w:t xml:space="preserve"> </w:t>
      </w:r>
      <w:r>
        <w:t xml:space="preserve">- Kim, J., Kim, H., &amp; Bang, D. (2024). An open-source, 3D printed inkjet DNA synthesizer.</w:t>
      </w:r>
      <w:r>
        <w:t xml:space="preserve"> </w:t>
      </w:r>
      <w:r>
        <w:rPr>
          <w:i/>
        </w:rPr>
        <w:t xml:space="preserve">Scientific Reports</w:t>
      </w:r>
      <w:r>
        <w:t xml:space="preserve">, 14, 3773. https://doi.org/10.1038/s41598-024-53944-x</w:t>
      </w:r>
      <w:r>
        <w:t xml:space="preserve"> </w:t>
      </w:r>
      <w:r>
        <w:t xml:space="preserve">- Diggans, J., &amp; Leproust, E., et al. —</w:t>
      </w:r>
      <w:r>
        <w:t xml:space="preserve"> </w:t>
      </w:r>
      <w:r>
        <w:t xml:space="preserve">“</w:t>
      </w:r>
      <w:r>
        <w:t xml:space="preserve">Practical Questions for Securing Nucleic Acid Synthesis.</w:t>
      </w:r>
      <w:r>
        <w:t xml:space="preserve">”</w:t>
      </w:r>
      <w:r>
        <w:t xml:space="preserve"> </w:t>
      </w:r>
      <w:r>
        <w:t xml:space="preserve">PMC11447131. https://pmc.ncbi.nlm.nih.gov/articles/PMC11447131/</w:t>
      </w:r>
      <w:r>
        <w:t xml:space="preserve"> </w:t>
      </w:r>
      <w:r>
        <w:t xml:space="preserve">-</w:t>
      </w:r>
      <w:r>
        <w:t xml:space="preserve"> </w:t>
      </w:r>
      <w:r>
        <w:t xml:space="preserve">“</w:t>
      </w:r>
      <w:r>
        <w:t xml:space="preserve">A risk-based framework to guide oversight of nucleic acid constructs.</w:t>
      </w:r>
      <w:r>
        <w:t xml:space="preserve">”</w:t>
      </w:r>
      <w:r>
        <w:t xml:space="preserve"> </w:t>
      </w:r>
      <w:r>
        <w:rPr>
          <w:i/>
        </w:rPr>
        <w:t xml:space="preserve">Frontiers in Bioengineering and Biotechnology</w:t>
      </w:r>
      <w:r>
        <w:t xml:space="preserve"> </w:t>
      </w:r>
      <w:r>
        <w:t xml:space="preserve">(2026). https://www.frontiersin.org/journals/bioengineering-and-biotechnology/articles/10.3389/fbioe.2026.1870125/full</w:t>
      </w:r>
    </w:p>
    <w:p>
      <w:pPr>
        <w:pStyle w:val="BodyText"/>
      </w:pPr>
      <w:r>
        <w:rPr>
          <w:b/>
        </w:rPr>
        <w:t xml:space="preserve">Policy / governance</w:t>
      </w:r>
      <w:r>
        <w:t xml:space="preserve"> </w:t>
      </w:r>
      <w:r>
        <w:t xml:space="preserve">- OSTP (2024).</w:t>
      </w:r>
      <w:r>
        <w:t xml:space="preserve"> </w:t>
      </w:r>
      <w:r>
        <w:rPr>
          <w:i/>
        </w:rPr>
        <w:t xml:space="preserve">Framework for Nucleic Acid Synthesis Screening.</w:t>
      </w:r>
      <w:r>
        <w:t xml:space="preserve"> </w:t>
      </w:r>
      <w:r>
        <w:t xml:space="preserve">https://aspr.hhs.gov/S3/Documents/OSTP-Nucleic-Acid-Synthesis-Screening-Framework-Sep2024.pdf</w:t>
      </w:r>
      <w:r>
        <w:t xml:space="preserve"> </w:t>
      </w:r>
      <w:r>
        <w:t xml:space="preserve">- IBBIS — Common Mechanism for DNA Synthesis Screening. https://ibbis.bio/our-work/common-mechanism/</w:t>
      </w:r>
      <w:r>
        <w:t xml:space="preserve"> </w:t>
      </w:r>
      <w:r>
        <w:t xml:space="preserve">- The Australia Group — Chemical Weapons Precursor control list. https://www.dfat.gov.au/publications/minisite/theaustraliagroupnet/site/en/precursors.html</w:t>
      </w:r>
      <w:r>
        <w:t xml:space="preserve"> </w:t>
      </w:r>
      <w:r>
        <w:t xml:space="preserve">- Greenberg Traurig (2025). BIOSECURE Act advisory. https://www.gtlaw.com/en/insights/2025/11/biosecure-act-advances-in-the-us-senate</w:t>
      </w:r>
    </w:p>
    <w:p>
      <w:pPr>
        <w:pStyle w:val="BodyText"/>
      </w:pPr>
      <w:r>
        <w:rPr>
          <w:b/>
        </w:rPr>
        <w:t xml:space="preserve">Company / industry</w:t>
      </w:r>
      <w:r>
        <w:t xml:space="preserve"> </w:t>
      </w:r>
      <w:r>
        <w:t xml:space="preserve">- Hongene Biotech — Phosphoramidite capacity (58 t/yr). https://www.hongene.com/news/hongene-expands-phosphoramidite-production-capability-to-58-t</w:t>
      </w:r>
      <w:r>
        <w:t xml:space="preserve"> </w:t>
      </w:r>
      <w:r>
        <w:t xml:space="preserve">- Hongene Biotech — About / products. https://www.hongene.com/about-us/ · https://www.hongene.com/products/</w:t>
      </w:r>
      <w:r>
        <w:t xml:space="preserve"> </w:t>
      </w:r>
      <w:r>
        <w:t xml:space="preserve">- Glen Research — About. https://www.glenresearch.com/about-us</w:t>
      </w:r>
      <w:r>
        <w:t xml:space="preserve"> </w:t>
      </w:r>
      <w:r>
        <w:t xml:space="preserve">- ChemGenes. https://www.chemgenes.com/</w:t>
      </w:r>
      <w:r>
        <w:t xml:space="preserve"> </w:t>
      </w:r>
      <w:r>
        <w:t xml:space="preserve">- LGC Biosearch Technologies. https://www.lgcgroup.com/what-we-do/biosearch-technologies-oligo-synthesis/</w:t>
      </w:r>
      <w:r>
        <w:t xml:space="preserve"> </w:t>
      </w:r>
      <w:r>
        <w:t xml:space="preserve">- Thermo Fisher — Phosphoramidites. https://www.thermofisher.com/us/en/home/life-science/oligonucleotides-primers-probes-genes/phosphoramidites.html</w:t>
      </w:r>
      <w:r>
        <w:t xml:space="preserve"> </w:t>
      </w:r>
      <w:r>
        <w:t xml:space="preserve">- Nitto Denko / Avecia expansion. https://www.fiercepharma.com/manufacturing/nitto-denko-lays-out-226m-to-boost-oligonucleotide-production-at-massachusetts</w:t>
      </w:r>
      <w:r>
        <w:t xml:space="preserve"> </w:t>
      </w:r>
      <w:r>
        <w:t xml:space="preserve">- Ajinomoto / GeneDesign. https://drug-dev.com/genedesign-joins-ajinomoto-bio-pharma-services-opens-oligonucleotide-api-development-center/</w:t>
      </w:r>
      <w:r>
        <w:t xml:space="preserve"> </w:t>
      </w:r>
      <w:r>
        <w:t xml:space="preserve">- ISPE — Oligonucleotide manufacturing scaling challenges (2025). https://ispe.org/pharmaceutical-engineering/november-december-2025/oligonucleotide-manufacturing-scaling-challenges</w:t>
      </w:r>
      <w:r>
        <w:t xml:space="preserve"> </w:t>
      </w:r>
      <w:r>
        <w:t xml:space="preserve">- CRB — Best practices in oligonucleotide manufacturing. https://www.crbgroup.com/insights/pharmaceuticals/oligonucleotide-manufacturing</w:t>
      </w:r>
    </w:p>
    <w:p>
      <w:pPr>
        <w:pStyle w:val="BodyText"/>
      </w:pPr>
      <w:r>
        <w:rPr>
          <w:b/>
        </w:rPr>
        <w:t xml:space="preserve">Market research (vendor estimates — figures disagree; see §5)</w:t>
      </w:r>
      <w:r>
        <w:t xml:space="preserve"> </w:t>
      </w:r>
      <w:r>
        <w:t xml:space="preserve">- Grand View Research. https://www.grandviewresearch.com/press-release/global-phosphoramidite-market</w:t>
      </w:r>
      <w:r>
        <w:t xml:space="preserve"> </w:t>
      </w:r>
      <w:r>
        <w:t xml:space="preserve">- Mordor Intelligence. https://www.mordorintelligence.com/industry-reports/phosphoramidite-market</w:t>
      </w:r>
      <w:r>
        <w:t xml:space="preserve"> </w:t>
      </w:r>
      <w:r>
        <w:t xml:space="preserve">- GMInsights. https://www.gminsights.com/industry-analysis/phosphoramidite-market</w:t>
      </w:r>
      <w:r>
        <w:t xml:space="preserve"> </w:t>
      </w:r>
      <w:r>
        <w:t xml:space="preserve">- Coherent Market Insights. https://www.coherentmarketinsights.com/industry-reports/global-phosphoramidite-market</w:t>
      </w:r>
      <w:r>
        <w:t xml:space="preserve"> </w:t>
      </w:r>
      <w:r>
        <w:t xml:space="preserve">- Emergen Research. https://www.emergenresearch.com/industry-report/Phosphoramidite-Market</w:t>
      </w:r>
      <w:r>
        <w:t xml:space="preserve"> </w:t>
      </w:r>
      <w:r>
        <w:t xml:space="preserve">- Astute Analytica. https://www.astuteanalytica.com/industry-report/phosphoramidite-market</w:t>
      </w:r>
    </w:p>
    <w:p>
      <w:r>
        <w:pict>
          <v:rect style="width:0;height:1.5pt" o:hralign="center" o:hrstd="t" o:hr="t"/>
        </w:pict>
      </w:r>
    </w:p>
    <w:p>
      <w:pPr>
        <w:pStyle w:val="FirstParagraph"/>
      </w:pPr>
      <w:r>
        <w:rPr>
          <w:i/>
        </w:rPr>
        <w:t xml:space="preserve">Verification note: three of five research angles were completed by parallel search agents; the regulatory-status and reagent-risk angles were researched directly (a safety filter blocked those two subagents mid-run). All quantitative claims are attributed; items marked</w:t>
      </w:r>
      <w:r>
        <w:rPr>
          <w:i/>
        </w:rPr>
        <w:t xml:space="preserve"> </w:t>
      </w:r>
      <w:r>
        <w:rPr>
          <w:b/>
          <w:i/>
        </w:rPr>
        <w:t xml:space="preserve">[UNVERIFIED]</w:t>
      </w:r>
      <w:r>
        <w:rPr>
          <w:i/>
        </w:rPr>
        <w:t xml:space="preserve"> </w:t>
      </w:r>
      <w:r>
        <w:rPr>
          <w:i/>
        </w:rPr>
        <w:t xml:space="preserve">rest on vendor blurbs or single secondary sources and should be confirmed via the Contacts above before citing in the final thesis.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spr.hhs.gov/S3/Documents/OSTP-Nucleic-Acid-Synthesis-Screening-Framework-Sep2024.pdf" TargetMode="External" /><Relationship Type="http://schemas.openxmlformats.org/officeDocument/2006/relationships/hyperlink" Id="rId23" Target="https://doi.org/10.1038/s41598-024-53944-x" TargetMode="External" /><Relationship Type="http://schemas.openxmlformats.org/officeDocument/2006/relationships/hyperlink" Id="rId43" Target="https://drug-dev.com/genedesign-joins-ajinomoto-bio-pharma-services-opens-oligonucleotide-api-development-center/" TargetMode="External" /><Relationship Type="http://schemas.openxmlformats.org/officeDocument/2006/relationships/hyperlink" Id="rId25" Target="https://en.wikipedia.org/wiki/Nucleoside_phosphoramidite" TargetMode="External" /><Relationship Type="http://schemas.openxmlformats.org/officeDocument/2006/relationships/hyperlink" Id="rId66" Target="https://ibbis.bio/" TargetMode="External" /><Relationship Type="http://schemas.openxmlformats.org/officeDocument/2006/relationships/hyperlink" Id="rId59" Target="https://ibbis.bio/our-work/common-mechanism/" TargetMode="External" /><Relationship Type="http://schemas.openxmlformats.org/officeDocument/2006/relationships/hyperlink" Id="rId28" Target="https://ispe.org/pharmaceutical-engineering/november-december-2025/oligonucleotide-manufacturing-scaling-challenges" TargetMode="External" /><Relationship Type="http://schemas.openxmlformats.org/officeDocument/2006/relationships/hyperlink" Id="rId26" Target="https://lifesciences.danaher.com/us/en/library/oligonucleotide-synthesis.html" TargetMode="External" /><Relationship Type="http://schemas.openxmlformats.org/officeDocument/2006/relationships/hyperlink" Id="rId45" Target="https://pharmasource.global/directory/hongene-biotech-corporation/" TargetMode="External" /><Relationship Type="http://schemas.openxmlformats.org/officeDocument/2006/relationships/hyperlink" Id="rId60" Target="https://pmc.ncbi.nlm.nih.gov/articles/PMC11447131/" TargetMode="External" /><Relationship Type="http://schemas.openxmlformats.org/officeDocument/2006/relationships/hyperlink" Id="rId52" Target="https://www.astuteanalytica.com/industry-report/phosphoramidite-market" TargetMode="External" /><Relationship Type="http://schemas.openxmlformats.org/officeDocument/2006/relationships/hyperlink" Id="rId40" Target="https://www.biospace.com/article/maravai-lifesciences-cuts-ribbon-on-new-headquarters" TargetMode="External" /><Relationship Type="http://schemas.openxmlformats.org/officeDocument/2006/relationships/hyperlink" Id="rId39" Target="https://www.biosynth.com/worldwide-locations" TargetMode="External" /><Relationship Type="http://schemas.openxmlformats.org/officeDocument/2006/relationships/hyperlink" Id="rId33" Target="https://www.chemgenes.com/" TargetMode="External" /><Relationship Type="http://schemas.openxmlformats.org/officeDocument/2006/relationships/hyperlink" Id="rId35" Target="https://www.coherentmarketinsights.com/industry-reports/global-phosphoramidite-market" TargetMode="External" /><Relationship Type="http://schemas.openxmlformats.org/officeDocument/2006/relationships/hyperlink" Id="rId29" Target="https://www.crbgroup.com/insights/pharmaceuticals/oligonucleotide-manufacturing" TargetMode="External" /><Relationship Type="http://schemas.openxmlformats.org/officeDocument/2006/relationships/hyperlink" Id="rId57" Target="https://www.dfat.gov.au/publications/minisite/theaustraliagroupnet/site/en/controllists.html" TargetMode="External" /><Relationship Type="http://schemas.openxmlformats.org/officeDocument/2006/relationships/hyperlink" Id="rId56" Target="https://www.dfat.gov.au/publications/minisite/theaustraliagroupnet/site/en/precursors.html" TargetMode="External" /><Relationship Type="http://schemas.openxmlformats.org/officeDocument/2006/relationships/hyperlink" Id="rId51" Target="https://www.emergenresearch.com/industry-report/Phosphoramidite-Market" TargetMode="External" /><Relationship Type="http://schemas.openxmlformats.org/officeDocument/2006/relationships/hyperlink" Id="rId42" Target="https://www.fiercepharma.com/manufacturing/nitto-denko-lays-out-226m-to-boost-oligonucleotide-production-at-massachusetts" TargetMode="External" /><Relationship Type="http://schemas.openxmlformats.org/officeDocument/2006/relationships/hyperlink" Id="rId61" Target="https://www.frontiersin.org/journals/bioengineering-and-biotechnology/articles/10.3389/fbioe.2026.1870125/full" TargetMode="External" /><Relationship Type="http://schemas.openxmlformats.org/officeDocument/2006/relationships/hyperlink" Id="rId32" Target="https://www.glenresearch.com/about-us" TargetMode="External" /><Relationship Type="http://schemas.openxmlformats.org/officeDocument/2006/relationships/hyperlink" Id="rId50" Target="https://www.gminsights.com/industry-analysis/phosphoramidite-market" TargetMode="External" /><Relationship Type="http://schemas.openxmlformats.org/officeDocument/2006/relationships/hyperlink" Id="rId53" Target="https://www.grandviewresearch.com/industry-analysis/oligonucleotide-synthesis-market" TargetMode="External" /><Relationship Type="http://schemas.openxmlformats.org/officeDocument/2006/relationships/hyperlink" Id="rId48" Target="https://www.grandviewresearch.com/industry-analysis/phosphoramidite-market-report" TargetMode="External" /><Relationship Type="http://schemas.openxmlformats.org/officeDocument/2006/relationships/hyperlink" Id="rId49" Target="https://www.grandviewresearch.com/press-release/global-phosphoramidite-market" TargetMode="External" /><Relationship Type="http://schemas.openxmlformats.org/officeDocument/2006/relationships/hyperlink" Id="rId63" Target="https://www.gtlaw.com/en/insights/2025/11/biosecure-act-advances-in-the-us-senate" TargetMode="External" /><Relationship Type="http://schemas.openxmlformats.org/officeDocument/2006/relationships/hyperlink" Id="rId38" Target="https://www.hongene.com/about-us/" TargetMode="External" /><Relationship Type="http://schemas.openxmlformats.org/officeDocument/2006/relationships/hyperlink" Id="rId37" Target="https://www.hongene.com/news/hongene-expands-phosphoramidite-production-capability-to-58-t" TargetMode="External" /><Relationship Type="http://schemas.openxmlformats.org/officeDocument/2006/relationships/hyperlink" Id="rId30" Target="https://www.hongene.com/products/" TargetMode="External" /><Relationship Type="http://schemas.openxmlformats.org/officeDocument/2006/relationships/hyperlink" Id="rId41" Target="https://www.kaneka.co.jp/en/topics/news/2023/ennr230119.html" TargetMode="External" /><Relationship Type="http://schemas.openxmlformats.org/officeDocument/2006/relationships/hyperlink" Id="rId34" Target="https://www.lgcgroup.com/what-we-do/biosearch-technologies-oligo-synthesis/" TargetMode="External" /><Relationship Type="http://schemas.openxmlformats.org/officeDocument/2006/relationships/hyperlink" Id="rId46" Target="https://www.mordorintelligence.com/industry-reports/phosphoramidite-market" TargetMode="External" /><Relationship Type="http://schemas.openxmlformats.org/officeDocument/2006/relationships/hyperlink" Id="rId44" Target="https://www.mordorintelligence.com/industry-reports/phosphoramidite-market/companies" TargetMode="External" /><Relationship Type="http://schemas.openxmlformats.org/officeDocument/2006/relationships/hyperlink" Id="rId22" Target="https://www.nature.com/articles/s41467-021-22945-z" TargetMode="External" /><Relationship Type="http://schemas.openxmlformats.org/officeDocument/2006/relationships/hyperlink" Id="rId67" Target="https://www.nti.org/" TargetMode="External" /><Relationship Type="http://schemas.openxmlformats.org/officeDocument/2006/relationships/hyperlink" Id="rId54" Target="https://www.prnewswire.com/news-releases/oligonucleotide-synthesis-market-worth-us24-7-billion-by-2030-with-10-8-cagr--marketsandmarkets-302474075.html" TargetMode="External" /><Relationship Type="http://schemas.openxmlformats.org/officeDocument/2006/relationships/hyperlink" Id="rId36" Target="https://www.thermofisher.com/us/en/home/life-science/oligonucleotides-primers-probes-genes/phosphoramidites.html" TargetMode="External" /></Relationships>
</file>

<file path=word/_rels/footnotes.xml.rels><?xml version="1.0" encoding="UTF-8"?>
<Relationships xmlns="http://schemas.openxmlformats.org/package/2006/relationships"><Relationship Type="http://schemas.openxmlformats.org/officeDocument/2006/relationships/hyperlink" Id="rId58" Target="https://aspr.hhs.gov/S3/Documents/OSTP-Nucleic-Acid-Synthesis-Screening-Framework-Sep2024.pdf" TargetMode="External" /><Relationship Type="http://schemas.openxmlformats.org/officeDocument/2006/relationships/hyperlink" Id="rId23" Target="https://doi.org/10.1038/s41598-024-53944-x" TargetMode="External" /><Relationship Type="http://schemas.openxmlformats.org/officeDocument/2006/relationships/hyperlink" Id="rId43" Target="https://drug-dev.com/genedesign-joins-ajinomoto-bio-pharma-services-opens-oligonucleotide-api-development-center/" TargetMode="External" /><Relationship Type="http://schemas.openxmlformats.org/officeDocument/2006/relationships/hyperlink" Id="rId25" Target="https://en.wikipedia.org/wiki/Nucleoside_phosphoramidite" TargetMode="External" /><Relationship Type="http://schemas.openxmlformats.org/officeDocument/2006/relationships/hyperlink" Id="rId66" Target="https://ibbis.bio/" TargetMode="External" /><Relationship Type="http://schemas.openxmlformats.org/officeDocument/2006/relationships/hyperlink" Id="rId59" Target="https://ibbis.bio/our-work/common-mechanism/" TargetMode="External" /><Relationship Type="http://schemas.openxmlformats.org/officeDocument/2006/relationships/hyperlink" Id="rId28" Target="https://ispe.org/pharmaceutical-engineering/november-december-2025/oligonucleotide-manufacturing-scaling-challenges" TargetMode="External" /><Relationship Type="http://schemas.openxmlformats.org/officeDocument/2006/relationships/hyperlink" Id="rId26" Target="https://lifesciences.danaher.com/us/en/library/oligonucleotide-synthesis.html" TargetMode="External" /><Relationship Type="http://schemas.openxmlformats.org/officeDocument/2006/relationships/hyperlink" Id="rId45" Target="https://pharmasource.global/directory/hongene-biotech-corporation/" TargetMode="External" /><Relationship Type="http://schemas.openxmlformats.org/officeDocument/2006/relationships/hyperlink" Id="rId60" Target="https://pmc.ncbi.nlm.nih.gov/articles/PMC11447131/" TargetMode="External" /><Relationship Type="http://schemas.openxmlformats.org/officeDocument/2006/relationships/hyperlink" Id="rId52" Target="https://www.astuteanalytica.com/industry-report/phosphoramidite-market" TargetMode="External" /><Relationship Type="http://schemas.openxmlformats.org/officeDocument/2006/relationships/hyperlink" Id="rId40" Target="https://www.biospace.com/article/maravai-lifesciences-cuts-ribbon-on-new-headquarters" TargetMode="External" /><Relationship Type="http://schemas.openxmlformats.org/officeDocument/2006/relationships/hyperlink" Id="rId39" Target="https://www.biosynth.com/worldwide-locations" TargetMode="External" /><Relationship Type="http://schemas.openxmlformats.org/officeDocument/2006/relationships/hyperlink" Id="rId33" Target="https://www.chemgenes.com/" TargetMode="External" /><Relationship Type="http://schemas.openxmlformats.org/officeDocument/2006/relationships/hyperlink" Id="rId35" Target="https://www.coherentmarketinsights.com/industry-reports/global-phosphoramidite-market" TargetMode="External" /><Relationship Type="http://schemas.openxmlformats.org/officeDocument/2006/relationships/hyperlink" Id="rId29" Target="https://www.crbgroup.com/insights/pharmaceuticals/oligonucleotide-manufacturing" TargetMode="External" /><Relationship Type="http://schemas.openxmlformats.org/officeDocument/2006/relationships/hyperlink" Id="rId57" Target="https://www.dfat.gov.au/publications/minisite/theaustraliagroupnet/site/en/controllists.html" TargetMode="External" /><Relationship Type="http://schemas.openxmlformats.org/officeDocument/2006/relationships/hyperlink" Id="rId56" Target="https://www.dfat.gov.au/publications/minisite/theaustraliagroupnet/site/en/precursors.html" TargetMode="External" /><Relationship Type="http://schemas.openxmlformats.org/officeDocument/2006/relationships/hyperlink" Id="rId51" Target="https://www.emergenresearch.com/industry-report/Phosphoramidite-Market" TargetMode="External" /><Relationship Type="http://schemas.openxmlformats.org/officeDocument/2006/relationships/hyperlink" Id="rId42" Target="https://www.fiercepharma.com/manufacturing/nitto-denko-lays-out-226m-to-boost-oligonucleotide-production-at-massachusetts" TargetMode="External" /><Relationship Type="http://schemas.openxmlformats.org/officeDocument/2006/relationships/hyperlink" Id="rId61" Target="https://www.frontiersin.org/journals/bioengineering-and-biotechnology/articles/10.3389/fbioe.2026.1870125/full" TargetMode="External" /><Relationship Type="http://schemas.openxmlformats.org/officeDocument/2006/relationships/hyperlink" Id="rId32" Target="https://www.glenresearch.com/about-us" TargetMode="External" /><Relationship Type="http://schemas.openxmlformats.org/officeDocument/2006/relationships/hyperlink" Id="rId50" Target="https://www.gminsights.com/industry-analysis/phosphoramidite-market" TargetMode="External" /><Relationship Type="http://schemas.openxmlformats.org/officeDocument/2006/relationships/hyperlink" Id="rId53" Target="https://www.grandviewresearch.com/industry-analysis/oligonucleotide-synthesis-market" TargetMode="External" /><Relationship Type="http://schemas.openxmlformats.org/officeDocument/2006/relationships/hyperlink" Id="rId48" Target="https://www.grandviewresearch.com/industry-analysis/phosphoramidite-market-report" TargetMode="External" /><Relationship Type="http://schemas.openxmlformats.org/officeDocument/2006/relationships/hyperlink" Id="rId49" Target="https://www.grandviewresearch.com/press-release/global-phosphoramidite-market" TargetMode="External" /><Relationship Type="http://schemas.openxmlformats.org/officeDocument/2006/relationships/hyperlink" Id="rId63" Target="https://www.gtlaw.com/en/insights/2025/11/biosecure-act-advances-in-the-us-senate" TargetMode="External" /><Relationship Type="http://schemas.openxmlformats.org/officeDocument/2006/relationships/hyperlink" Id="rId38" Target="https://www.hongene.com/about-us/" TargetMode="External" /><Relationship Type="http://schemas.openxmlformats.org/officeDocument/2006/relationships/hyperlink" Id="rId37" Target="https://www.hongene.com/news/hongene-expands-phosphoramidite-production-capability-to-58-t" TargetMode="External" /><Relationship Type="http://schemas.openxmlformats.org/officeDocument/2006/relationships/hyperlink" Id="rId30" Target="https://www.hongene.com/products/" TargetMode="External" /><Relationship Type="http://schemas.openxmlformats.org/officeDocument/2006/relationships/hyperlink" Id="rId41" Target="https://www.kaneka.co.jp/en/topics/news/2023/ennr230119.html" TargetMode="External" /><Relationship Type="http://schemas.openxmlformats.org/officeDocument/2006/relationships/hyperlink" Id="rId34" Target="https://www.lgcgroup.com/what-we-do/biosearch-technologies-oligo-synthesis/" TargetMode="External" /><Relationship Type="http://schemas.openxmlformats.org/officeDocument/2006/relationships/hyperlink" Id="rId46" Target="https://www.mordorintelligence.com/industry-reports/phosphoramidite-market" TargetMode="External" /><Relationship Type="http://schemas.openxmlformats.org/officeDocument/2006/relationships/hyperlink" Id="rId44" Target="https://www.mordorintelligence.com/industry-reports/phosphoramidite-market/companies" TargetMode="External" /><Relationship Type="http://schemas.openxmlformats.org/officeDocument/2006/relationships/hyperlink" Id="rId22" Target="https://www.nature.com/articles/s41467-021-22945-z" TargetMode="External" /><Relationship Type="http://schemas.openxmlformats.org/officeDocument/2006/relationships/hyperlink" Id="rId67" Target="https://www.nti.org/" TargetMode="External" /><Relationship Type="http://schemas.openxmlformats.org/officeDocument/2006/relationships/hyperlink" Id="rId54" Target="https://www.prnewswire.com/news-releases/oligonucleotide-synthesis-market-worth-us24-7-billion-by-2030-with-10-8-cagr--marketsandmarkets-302474075.html" TargetMode="External" /><Relationship Type="http://schemas.openxmlformats.org/officeDocument/2006/relationships/hyperlink" Id="rId36" Target="https://www.thermofisher.com/us/en/home/life-science/oligonucleotides-primers-probes-genes/phosphoramidit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2026-07-24T15:42:32Z</dcterms:created>
  <dcterms:modified xsi:type="dcterms:W3CDTF">2026-07-24T15:42:32Z</dcterms:modified>
</cp:coreProperties>
</file>

<file path=docProps/custom.xml><?xml version="1.0" encoding="utf-8"?>
<Properties xmlns="http://schemas.openxmlformats.org/officeDocument/2006/custom-properties" xmlns:vt="http://schemas.openxmlformats.org/officeDocument/2006/docPropsVTypes"/>
</file>