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0b336c420174bd64e01199a8f381e94d9f87c"/>
      <w:r>
        <w:t xml:space="preserve">Preliminary Literature Review: DIY DNA Oligonucleotide Synthesis</w:t>
      </w:r>
      <w:bookmarkEnd w:id="20"/>
    </w:p>
    <w:p>
      <w:pPr>
        <w:pStyle w:val="FirstParagraph"/>
      </w:pPr>
      <w:r>
        <w:rPr>
          <w:i/>
        </w:rPr>
        <w:t xml:space="preserve">Revised 2026 — scope realigned toward DIY / accessible in-house synthesis; corrected against a 2026 deep-research survey (see change notes in-line). Commercial benchtop and provider rows are retained only as the screenable baseline for contrast.</w:t>
      </w:r>
    </w:p>
    <w:p>
      <w:pPr>
        <w:pStyle w:val="Heading2"/>
      </w:pPr>
      <w:bookmarkStart w:id="21" w:name="X8102d6e236e7e239e4167d21a9e45b112d16eb4"/>
      <w:r>
        <w:t xml:space="preserve">Table A — Capability and accessibility by synthesis approach</w:t>
      </w:r>
      <w:bookmarkEnd w:id="2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(how it works)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(capital / per-seq)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Usable length @ high 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acquisition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OpenIDS v1</w:t>
            </w:r>
          </w:p>
        </w:tc>
        <w:tc>
          <w:p>
            <w:pPr>
              <w:pStyle w:val="Compact"/>
              <w:jc w:val="left"/>
            </w:pPr>
            <w:r>
              <w:t xml:space="preserve">Inkjet printhead deposits phosphoramidite chemistry onto silicon-wafer spots; 3D-printed frame, Arduino/Pi control; array format</w:t>
            </w:r>
          </w:p>
        </w:tc>
        <w:tc>
          <w:p>
            <w:pPr>
              <w:pStyle w:val="Compact"/>
              <w:jc w:val="left"/>
            </w:pPr>
            <w:r>
              <w:t xml:space="preserve">~$20K / ~$1–15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~20–30 nt</w:t>
            </w:r>
            <w:r>
              <w:t xml:space="preserve"> </w:t>
            </w:r>
            <w:r>
              <w:t xml:space="preserve">(demonstrated only a poly-dT 30-mer; ~98%/step → ~55% full-length at 30, &lt;40% at 50)</w:t>
            </w:r>
          </w:p>
        </w:tc>
        <w:tc>
          <w:p>
            <w:pPr>
              <w:pStyle w:val="Compact"/>
              <w:jc w:val="left"/>
            </w:pPr>
            <w:r>
              <w:t xml:space="preserve">Medium — industrial inkjet printhead is the chokepoint; reagents commodity</w:t>
            </w:r>
          </w:p>
        </w:tc>
        <w:tc>
          <w:p>
            <w:pPr>
              <w:pStyle w:val="Compact"/>
              <w:jc w:val="left"/>
            </w:pPr>
            <w:r>
              <w:t xml:space="preserve">Medium — open-source,</w:t>
            </w:r>
            <w:r>
              <w:t xml:space="preserve"> </w:t>
            </w:r>
            <w:r>
              <w:t xml:space="preserve">“</w:t>
            </w:r>
            <w:r>
              <w:t xml:space="preserve">non-expert</w:t>
            </w:r>
            <w:r>
              <w:t xml:space="preserve">”</w:t>
            </w:r>
            <w:r>
              <w:t xml:space="preserve"> </w:t>
            </w:r>
            <w:r>
              <w:t xml:space="preserve">buildable, but anhydrous wet chemistry + calibration non-trivial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OpenIDS v2</w:t>
            </w:r>
          </w:p>
        </w:tc>
        <w:tc>
          <w:p>
            <w:pPr>
              <w:pStyle w:val="Compact"/>
              <w:jc w:val="left"/>
            </w:pPr>
            <w:r>
              <w:t xml:space="preserve">2nd-gen OpenIDS: ~⅓ volume, custom PCB, 3D-printed peristaltic pumps; same inkjet-microarray chemistry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~$4K</w:t>
            </w:r>
            <w:r>
              <w:t xml:space="preserve"> </w:t>
            </w:r>
            <w:r>
              <w:t xml:space="preserve">/ ~$12</w:t>
            </w:r>
          </w:p>
        </w:tc>
        <w:tc>
          <w:p>
            <w:pPr>
              <w:pStyle w:val="Compact"/>
              <w:jc w:val="left"/>
            </w:pPr>
            <w:r>
              <w:t xml:space="preserve">~15–25 nt (validated on a 15-mer poly-dT, ~56% full-length, ~96%/step)</w:t>
            </w:r>
          </w:p>
        </w:tc>
        <w:tc>
          <w:p>
            <w:pPr>
              <w:pStyle w:val="Compact"/>
              <w:jc w:val="left"/>
            </w:pPr>
            <w:r>
              <w:t xml:space="preserve">Medium — as v1</w:t>
            </w:r>
          </w:p>
        </w:tc>
        <w:tc>
          <w:p>
            <w:pPr>
              <w:pStyle w:val="Compact"/>
              <w:jc w:val="left"/>
            </w:pPr>
            <w:r>
              <w:t xml:space="preserve">Medium — more reproducible/accessible than v1 (full open Gerber/CAD/BOM/code)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 2.0 / AMS</w:t>
            </w:r>
            <w:r>
              <w:t xml:space="preserve"> </w:t>
            </w:r>
            <w:r>
              <w:rPr>
                <w:i/>
              </w:rPr>
              <w:t xml:space="preserve">(new — 2024)</w:t>
            </w:r>
          </w:p>
        </w:tc>
        <w:tc>
          <w:p>
            <w:pPr>
              <w:pStyle w:val="Compact"/>
              <w:jc w:val="left"/>
            </w:pPr>
            <w:r>
              <w:t xml:space="preserve">Open-source</w:t>
            </w:r>
            <w:r>
              <w:t xml:space="preserve"> </w:t>
            </w:r>
            <w:r>
              <w:rPr>
                <w:b/>
              </w:rPr>
              <w:t xml:space="preserve">photolithographic</w:t>
            </w:r>
            <w:r>
              <w:t xml:space="preserve"> </w:t>
            </w:r>
            <w:r>
              <w:t xml:space="preserve">(light-directed) synthesizer: a DMD patterns 365 nm UV to photo-deprotect features (NPPOC amidites), no physical masks</w:t>
            </w:r>
          </w:p>
        </w:tc>
        <w:tc>
          <w:p>
            <w:pPr>
              <w:pStyle w:val="Compact"/>
              <w:jc w:val="left"/>
            </w:pPr>
            <w:r>
              <w:t xml:space="preserve">~tens of $K (component list in supplement) / —</w:t>
            </w:r>
          </w:p>
        </w:tc>
        <w:tc>
          <w:p>
            <w:pPr>
              <w:pStyle w:val="Compact"/>
              <w:jc w:val="left"/>
            </w:pPr>
            <w:r>
              <w:t xml:space="preserve">library-grade (error-prone; handled by downstream selection)</w:t>
            </w:r>
          </w:p>
        </w:tc>
        <w:tc>
          <w:p>
            <w:pPr>
              <w:pStyle w:val="Compact"/>
              <w:jc w:val="left"/>
            </w:pPr>
            <w:r>
              <w:t xml:space="preserve">Medium — off-the-shelf optics + specialty photolabile amidites;</w:t>
            </w:r>
            <w:r>
              <w:t xml:space="preserve"> </w:t>
            </w:r>
            <w:r>
              <w:rPr>
                <w:b/>
              </w:rPr>
              <w:t xml:space="preserve">no cleanroom</w:t>
            </w:r>
          </w:p>
        </w:tc>
        <w:tc>
          <w:p>
            <w:pPr>
              <w:pStyle w:val="Compact"/>
              <w:jc w:val="left"/>
            </w:pPr>
            <w:r>
              <w:t xml:space="preserve">Medium — full open CAD/STL/software + chemistry manual; optics alignment is the barrier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DropSynth</w:t>
            </w:r>
          </w:p>
        </w:tc>
        <w:tc>
          <w:p>
            <w:pPr>
              <w:pStyle w:val="Compact"/>
              <w:jc w:val="left"/>
            </w:pPr>
            <w:r>
              <w:t xml:space="preserve">Assembles</w:t>
            </w:r>
            <w:r>
              <w:t xml:space="preserve"> </w:t>
            </w:r>
            <w:r>
              <w:rPr>
                <w:b/>
              </w:rPr>
              <w:t xml:space="preserve">commercial</w:t>
            </w:r>
            <w:r>
              <w:t xml:space="preserve"> </w:t>
            </w:r>
            <w:r>
              <w:t xml:space="preserve">microarray-derived oligos into genes: barcoded magnetic beads pull each gene’s oligo set into a</w:t>
            </w:r>
            <w:r>
              <w:t xml:space="preserve"> </w:t>
            </w:r>
            <w:r>
              <w:rPr>
                <w:b/>
              </w:rPr>
              <w:t xml:space="preserve">vortex-made</w:t>
            </w:r>
            <w:r>
              <w:t xml:space="preserve"> </w:t>
            </w:r>
            <w:r>
              <w:t xml:space="preserve">water-in-oil emulsion, then PCA/Golden-Gate assembly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~$3.4K bead pool</w:t>
            </w:r>
            <w:r>
              <w:t xml:space="preserve"> </w:t>
            </w:r>
            <w:r>
              <w:t xml:space="preserve">(~200 rxns) /</w:t>
            </w:r>
            <w:r>
              <w:t xml:space="preserve"> </w:t>
            </w:r>
            <w:r>
              <w:rPr>
                <w:b/>
              </w:rPr>
              <w:t xml:space="preserve">~$1–2 per gene</w:t>
            </w:r>
          </w:p>
        </w:tc>
        <w:tc>
          <w:p>
            <w:pPr>
              <w:pStyle w:val="Compact"/>
              <w:jc w:val="left"/>
            </w:pPr>
            <w:r>
              <w:t xml:space="preserve">Gene-length (~1–3 kb) from short blocks — fidelity ~25% perfect, error-correction-dependent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Medium — needs a</w:t>
            </w:r>
            <w:r>
              <w:t xml:space="preserve"> </w:t>
            </w:r>
            <w:r>
              <w:rPr>
                <w:b/>
              </w:rPr>
              <w:t xml:space="preserve">commercial oligo-pool source</w:t>
            </w:r>
            <w:r>
              <w:t xml:space="preserve">; assembly is</w:t>
            </w:r>
            <w:r>
              <w:t xml:space="preserve"> </w:t>
            </w:r>
            <w:r>
              <w:rPr>
                <w:b/>
              </w:rPr>
              <w:t xml:space="preserve">standard mol-bio kit + vortex — no microfluidic chip, no cleanroom</w:t>
            </w:r>
          </w:p>
        </w:tc>
        <w:tc>
          <w:p>
            <w:pPr>
              <w:pStyle w:val="Compact"/>
              <w:jc w:val="left"/>
            </w:pPr>
            <w:r>
              <w:t xml:space="preserve">Moderate — bead-pool prep is fiddly; downstream is routine PCR/gel + bioinformatics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Electrochemical</w:t>
            </w:r>
          </w:p>
        </w:tc>
        <w:tc>
          <w:p>
            <w:pPr>
              <w:pStyle w:val="Compact"/>
              <w:jc w:val="left"/>
            </w:pPr>
            <w:r>
              <w:t xml:space="preserve">Phosphoramidite chemistry with electrochemically-generated-acid deprotection on electrode arrays</w:t>
            </w:r>
          </w:p>
        </w:tc>
        <w:tc>
          <w:p>
            <w:pPr>
              <w:pStyle w:val="Compact"/>
              <w:jc w:val="left"/>
            </w:pPr>
            <w:r>
              <w:t xml:space="preserve">~$10K / ~$5 (est.)</w:t>
            </w:r>
          </w:p>
        </w:tc>
        <w:tc>
          <w:p>
            <w:pPr>
              <w:pStyle w:val="Compact"/>
              <w:jc w:val="left"/>
            </w:pPr>
            <w:r>
              <w:t xml:space="preserve">Not established (TRL 3) — 13–17-mer academic demos only</w:t>
            </w:r>
          </w:p>
        </w:tc>
        <w:tc>
          <w:p>
            <w:pPr>
              <w:pStyle w:val="Compact"/>
              <w:jc w:val="left"/>
            </w:pPr>
            <w:r>
              <w:t xml:space="preserve">High ease — commodity electrodes (why it is concerning</w:t>
            </w:r>
            <w:r>
              <w:t xml:space="preserve"> </w:t>
            </w:r>
            <w:r>
              <w:rPr>
                <w:i/>
              </w:rPr>
              <w:t xml:space="preserve">if</w:t>
            </w:r>
            <w:r>
              <w:t xml:space="preserve"> </w:t>
            </w:r>
            <w:r>
              <w:t xml:space="preserve">it matures)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independent DIY build published</w:t>
            </w:r>
            <w:r>
              <w:t xml:space="preserve"> </w:t>
            </w:r>
            <w:r>
              <w:t xml:space="preserve">— academic + defunct-commercial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 (TdT)</w:t>
            </w:r>
          </w:p>
        </w:tc>
        <w:tc>
          <w:p>
            <w:pPr>
              <w:pStyle w:val="Compact"/>
              <w:jc w:val="left"/>
            </w:pPr>
            <w:r>
              <w:t xml:space="preserve">Template-independent polymerase adds nucleotides in aqueous conditions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Commercial:</w:t>
            </w:r>
            <w:r>
              <w:t xml:space="preserve"> </w:t>
            </w:r>
            <w:r>
              <w:t xml:space="preserve">~€250–280K instrument / €0.11–0.26 per base (DNA Script vendor quote).</w:t>
            </w:r>
            <w:r>
              <w:t xml:space="preserve"> </w:t>
            </w:r>
            <w:r>
              <w:rPr>
                <w:i/>
              </w:rPr>
              <w:t xml:space="preserve">DIY route:</w:t>
            </w:r>
            <w:r>
              <w:t xml:space="preserve"> </w:t>
            </w:r>
            <w:r>
              <w:t xml:space="preserve">low capital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Commercial (SYNTAX):</w:t>
            </w:r>
            <w:r>
              <w:t xml:space="preserve"> </w:t>
            </w:r>
            <w:r>
              <w:t xml:space="preserve">80 nt Standard / 120 nt Hi-Fi.</w:t>
            </w:r>
            <w:r>
              <w:t xml:space="preserve"> </w:t>
            </w:r>
            <w:r>
              <w:rPr>
                <w:i/>
              </w:rPr>
              <w:t xml:space="preserve">DIY (Church route):</w:t>
            </w:r>
            <w:r>
              <w:t xml:space="preserve"> </w:t>
            </w:r>
            <w:r>
              <w:t xml:space="preserve">not defined-sequence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Commercial:</w:t>
            </w:r>
            <w:r>
              <w:t xml:space="preserve"> </w:t>
            </w:r>
            <w:r>
              <w:t xml:space="preserve">proprietary enzyme/cartridge = licensing chokepoint.</w:t>
            </w:r>
            <w:r>
              <w:t xml:space="preserve"> </w:t>
            </w:r>
            <w:r>
              <w:rPr>
                <w:i/>
              </w:rPr>
              <w:t xml:space="preserve">DIY:</w:t>
            </w:r>
            <w:r>
              <w:t xml:space="preserve"> </w:t>
            </w:r>
            <w:r>
              <w:t xml:space="preserve">off-the-shelf TdT/dNTPs/apyrase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Benchtop ≠ DIY</w:t>
            </w:r>
            <w:r>
              <w:t xml:space="preserve"> </w:t>
            </w:r>
            <w:r>
              <w:t xml:space="preserve">(closed cartridge). Only the Church terminator-free route is off-the-shelf, and it is</w:t>
            </w:r>
            <w:r>
              <w:t xml:space="preserve"> </w:t>
            </w:r>
            <w:r>
              <w:rPr>
                <w:b/>
              </w:rPr>
              <w:t xml:space="preserve">data-storage only</w:t>
            </w:r>
            <w:r>
              <w:t xml:space="preserve"> </w:t>
            </w:r>
            <w:r>
              <w:t xml:space="preserve">(see §1.4)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benchtop</w:t>
            </w:r>
            <w:r>
              <w:t xml:space="preserve"> </w:t>
            </w:r>
            <w:r>
              <w:t xml:space="preserve">(column phosphoramidite, e.g. Kilobaser, MerMade)</w:t>
            </w:r>
          </w:p>
        </w:tc>
        <w:tc>
          <w:p>
            <w:pPr>
              <w:pStyle w:val="Compact"/>
              <w:jc w:val="left"/>
            </w:pPr>
            <w:r>
              <w:t xml:space="preserve">Standard solid-phase phosphoramidite column synthesis in a benchtop box</w:t>
            </w:r>
          </w:p>
        </w:tc>
        <w:tc>
          <w:p>
            <w:pPr>
              <w:pStyle w:val="Compact"/>
              <w:jc w:val="left"/>
            </w:pPr>
            <w:r>
              <w:t xml:space="preserve">~$15–150K (best ~$60K; used $15–30K) / varies</w:t>
            </w:r>
          </w:p>
        </w:tc>
        <w:tc>
          <w:p>
            <w:pPr>
              <w:pStyle w:val="Compact"/>
              <w:jc w:val="left"/>
            </w:pPr>
            <w:r>
              <w:t xml:space="preserve">~100–150+ nt at good fidelity — mature</w:t>
            </w:r>
          </w:p>
        </w:tc>
        <w:tc>
          <w:p>
            <w:pPr>
              <w:pStyle w:val="Compact"/>
              <w:jc w:val="left"/>
            </w:pPr>
            <w:r>
              <w:t xml:space="preserve">Medium — reagents commodity; instruments on used/eBay market</w:t>
            </w:r>
          </w:p>
        </w:tc>
        <w:tc>
          <w:p>
            <w:pPr>
              <w:pStyle w:val="Compact"/>
              <w:jc w:val="left"/>
            </w:pPr>
            <w:r>
              <w:t xml:space="preserve">Medium–High — turnkey, established (baseline, not DIY)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provider</w:t>
            </w:r>
            <w:r>
              <w:t xml:space="preserve"> </w:t>
            </w:r>
            <w:r>
              <w:t xml:space="preserve">(mail-order, e.g. Twist/IDT/GenScript)</w:t>
            </w:r>
          </w:p>
        </w:tc>
        <w:tc>
          <w:p>
            <w:pPr>
              <w:pStyle w:val="Compact"/>
              <w:jc w:val="left"/>
            </w:pPr>
            <w:r>
              <w:t xml:space="preserve">Centralized industrial synthesis + gene assembly; order online, receive DNA</w:t>
            </w:r>
          </w:p>
        </w:tc>
        <w:tc>
          <w:p>
            <w:pPr>
              <w:pStyle w:val="Compact"/>
              <w:jc w:val="left"/>
            </w:pPr>
            <w:r>
              <w:t xml:space="preserve">none / ~$0.07–0.10 per bp</w:t>
            </w:r>
          </w:p>
        </w:tc>
        <w:tc>
          <w:p>
            <w:pPr>
              <w:pStyle w:val="Compact"/>
              <w:jc w:val="left"/>
            </w:pPr>
            <w:r>
              <w:t xml:space="preserve">Genes/genomes, high fidelity (the benchmark)</w:t>
            </w:r>
          </w:p>
        </w:tc>
        <w:tc>
          <w:p>
            <w:pPr>
              <w:pStyle w:val="Compact"/>
              <w:jc w:val="left"/>
            </w:pPr>
            <w:r>
              <w:t xml:space="preserve">N/A (service)</w:t>
            </w:r>
          </w:p>
        </w:tc>
        <w:tc>
          <w:p>
            <w:pPr>
              <w:pStyle w:val="Compact"/>
              <w:jc w:val="left"/>
            </w:pPr>
            <w:r>
              <w:t xml:space="preserve">Highest ease — but this is the screened channel (IGSC / SecureDNA)</w:t>
            </w:r>
          </w:p>
        </w:tc>
      </w:tr>
    </w:tbl>
    <w:p>
      <w:pPr>
        <w:pStyle w:val="BodyText"/>
      </w:pPr>
      <w:r>
        <w:rPr>
          <w:b/>
        </w:rPr>
        <w:t xml:space="preserve">How to read Table A (DIY focus).</w:t>
      </w:r>
      <w:r>
        <w:t xml:space="preserve"> </w:t>
      </w:r>
      <w:r>
        <w:t xml:space="preserve">The genuinely DIY-reproducible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synthesizers are</w:t>
      </w:r>
      <w:r>
        <w:t xml:space="preserve"> </w:t>
      </w:r>
      <w:r>
        <w:rPr>
          <w:b/>
        </w:rPr>
        <w:t xml:space="preserve">OpenIDS/OpenIDS2</w:t>
      </w:r>
      <w:r>
        <w:t xml:space="preserve"> </w:t>
      </w:r>
      <w:r>
        <w:t xml:space="preserve">(inkjet) and</w:t>
      </w:r>
      <w:r>
        <w:t xml:space="preserve"> </w:t>
      </w:r>
      <w:r>
        <w:rPr>
          <w:b/>
        </w:rPr>
        <w:t xml:space="preserve">MAS 2.0</w:t>
      </w:r>
      <w:r>
        <w:t xml:space="preserve"> </w:t>
      </w:r>
      <w:r>
        <w:t xml:space="preserve">(photolithographic).</w:t>
      </w:r>
      <w:r>
        <w:t xml:space="preserve"> </w:t>
      </w:r>
      <w:r>
        <w:rPr>
          <w:b/>
        </w:rPr>
        <w:t xml:space="preserve">DropSynth</w:t>
      </w:r>
      <w:r>
        <w:t xml:space="preserve"> </w:t>
      </w:r>
      <w:r>
        <w:t xml:space="preserve">is DIY-reproducible</w:t>
      </w:r>
      <w:r>
        <w:t xml:space="preserve"> </w:t>
      </w:r>
      <w:r>
        <w:rPr>
          <w:i/>
        </w:rPr>
        <w:t xml:space="preserve">gene assembly</w:t>
      </w:r>
      <w:r>
        <w:t xml:space="preserve"> </w:t>
      </w:r>
      <w:r>
        <w:t xml:space="preserve">but still consumes a commercial (screenable) oligo pool. Enzymatic-benchtop and both commercial rows are the</w:t>
      </w:r>
      <w:r>
        <w:t xml:space="preserve"> </w:t>
      </w:r>
      <w:r>
        <w:rPr>
          <w:b/>
        </w:rPr>
        <w:t xml:space="preserve">screenable baseline</w:t>
      </w:r>
      <w:r>
        <w:t xml:space="preserve">, shown only for contrast.</w:t>
      </w:r>
      <w:r>
        <w:t xml:space="preserve"> </w:t>
      </w:r>
      <w:r>
        <w:rPr>
          <w:i/>
        </w:rPr>
        <w:t xml:space="preserve">Are these the only DIY routes?</w:t>
      </w:r>
      <w:r>
        <w:t xml:space="preserve"> </w:t>
      </w:r>
      <w:r>
        <w:t xml:space="preserve">Effectively yes for reproducible published builds — a 2026 survey found no working homebrew/garage synthesizer beyond these academic open-hardware platforms plus DropSynth-style assembly (§5).</w:t>
      </w:r>
      <w:r>
        <w:t xml:space="preserve"> </w:t>
      </w:r>
      <w:r>
        <w:rPr>
          <w:i/>
        </w:rPr>
        <w:t xml:space="preserve">OOS = out of scope.</w:t>
      </w:r>
    </w:p>
    <w:p>
      <w:pPr>
        <w:pStyle w:val="Heading2"/>
      </w:pPr>
      <w:bookmarkStart w:id="22" w:name="X298c5fb6c039b2d94b4a7869890923c8231c859"/>
      <w:r>
        <w:t xml:space="preserve">Table B — Risk and readiness (the biosecurity read)</w:t>
      </w:r>
      <w:bookmarkEnd w:id="2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Assembly readiness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 / biosecurity 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OpenIDS v1 / v2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Low — short (~15–30 nt), ~55% full-length; not directly gene-assembly-ready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Visible bench kit; printhead sourcing traceable; low assembly-readiness caps the threat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 2.0 / AMS</w:t>
            </w:r>
          </w:p>
        </w:tc>
        <w:tc>
          <w:p>
            <w:pPr>
              <w:pStyle w:val="Compact"/>
              <w:jc w:val="left"/>
            </w:pPr>
            <w:r>
              <w:t xml:space="preserve">5–6 (open build)</w:t>
            </w:r>
          </w:p>
        </w:tc>
        <w:tc>
          <w:p>
            <w:pPr>
              <w:pStyle w:val="Compact"/>
              <w:jc w:val="left"/>
            </w:pPr>
            <w:r>
              <w:t xml:space="preserve">Medium — library-grade output for assembly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Fully open photolithographic build; optics + photolabile-amidite barrier; the DIY twin of the array/photolith class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DropSynth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High (it</w:t>
            </w:r>
            <w:r>
              <w:t xml:space="preserve"> </w:t>
            </w:r>
            <w:r>
              <w:rPr>
                <w:i/>
              </w:rPr>
              <w:t xml:space="preserve">is</w:t>
            </w:r>
            <w:r>
              <w:t xml:space="preserve"> </w:t>
            </w:r>
            <w:r>
              <w:t xml:space="preserve">assembly) — but gated by expertise + a commercial oligo pool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Assembles genes (higher intrinsic risk) but</w:t>
            </w:r>
            <w:r>
              <w:t xml:space="preserve"> </w:t>
            </w:r>
            <w:r>
              <w:rPr>
                <w:b/>
              </w:rPr>
              <w:t xml:space="preserve">inherits the screening perimeter via its oligo-pool input</w:t>
            </w:r>
            <w:r>
              <w:t xml:space="preserve">; not DIY-adopted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Electrochemical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Unknown (pre-commercial)</w:t>
            </w:r>
          </w:p>
        </w:tc>
        <w:tc>
          <w:p>
            <w:pPr>
              <w:pStyle w:val="Compact"/>
              <w:jc w:val="left"/>
            </w:pPr>
            <w:r>
              <w:t xml:space="preserve">High (≈9/10, near-invisible)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  <w:r>
              <w:t xml:space="preserve"> </w:t>
            </w:r>
            <w:r>
              <w:rPr>
                <w:i/>
              </w:rPr>
              <w:t xml:space="preserve">potential</w:t>
            </w:r>
            <w:r>
              <w:t xml:space="preserve"> </w:t>
            </w:r>
            <w:r>
              <w:t xml:space="preserve">concern — portable, commodity materials — but</w:t>
            </w:r>
            <w:r>
              <w:t xml:space="preserve"> </w:t>
            </w:r>
            <w:r>
              <w:rPr>
                <w:b/>
              </w:rPr>
              <w:t xml:space="preserve">no DIY build exists</w:t>
            </w:r>
            <w:r>
              <w:t xml:space="preserve">; conditional-future (see Part 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</w:t>
            </w:r>
          </w:p>
        </w:tc>
        <w:tc>
          <w:p>
            <w:pPr>
              <w:pStyle w:val="Compact"/>
              <w:jc w:val="left"/>
            </w:pPr>
            <w:r>
              <w:t xml:space="preserve">5 (commercial) / low (DIY)</w:t>
            </w:r>
          </w:p>
        </w:tc>
        <w:tc>
          <w:p>
            <w:pPr>
              <w:pStyle w:val="Compact"/>
              <w:jc w:val="left"/>
            </w:pPr>
            <w:r>
              <w:t xml:space="preserve">Commercial: Medium–High. DIY: low (data-storage only)</w:t>
            </w:r>
          </w:p>
        </w:tc>
        <w:tc>
          <w:p>
            <w:pPr>
              <w:pStyle w:val="Compact"/>
              <w:jc w:val="left"/>
            </w:pPr>
            <w:r>
              <w:t xml:space="preserve">Low–Moderate</w:t>
            </w:r>
          </w:p>
        </w:tc>
        <w:tc>
          <w:p>
            <w:pPr>
              <w:pStyle w:val="Compact"/>
              <w:jc w:val="left"/>
            </w:pPr>
            <w:r>
              <w:t xml:space="preserve">Enzyme/cartridge licensing is a genuine control point;</w:t>
            </w:r>
            <w:r>
              <w:t xml:space="preserve"> </w:t>
            </w:r>
            <w:r>
              <w:rPr>
                <w:b/>
              </w:rPr>
              <w:t xml:space="preserve">defined-sequence enzymatic needs bespoke reagents a well-resourced lab must make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benchtop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High — long, high-fidelity, directly assembly-ready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The real near-term concern — mature, ≥150 nt, assembly-ready, largely unscreened, resale market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provider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Highest — delivers assembled constructs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Baseline + the currently-screened chokepoint; R0/R1 controls act here (IGSC ~80% capacity)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art-1-core-technology-landscape"/>
      <w:r>
        <w:t xml:space="preserve">PART 1: CORE TECHNOLOGY LANDSCAPE</w:t>
      </w:r>
      <w:bookmarkEnd w:id="23"/>
    </w:p>
    <w:p>
      <w:pPr>
        <w:pStyle w:val="Heading3"/>
      </w:pPr>
      <w:bookmarkStart w:id="24" w:name="X08ea09a953eb7203c05bcf46f6ba6b5e84a9bc5"/>
      <w:r>
        <w:t xml:space="preserve">1.1 OpenIDS: Inkjet-Based Synthesis (TRL 5 — Demonstrated)</w:t>
      </w:r>
      <w:bookmarkEnd w:id="24"/>
    </w:p>
    <w:p>
      <w:pPr>
        <w:pStyle w:val="FirstParagraph"/>
      </w:pPr>
      <w:r>
        <w:rPr>
          <w:b/>
        </w:rPr>
        <w:t xml:space="preserve">Primary Reference:</w:t>
      </w:r>
      <w:r>
        <w:t xml:space="preserve"> </w:t>
      </w:r>
      <w:r>
        <w:t xml:space="preserve">Kim, J., Kim, H., &amp; Bang, D. (2024).</w:t>
      </w:r>
      <w:r>
        <w:t xml:space="preserve"> </w:t>
      </w:r>
      <w:r>
        <w:t xml:space="preserve">“</w:t>
      </w:r>
      <w:r>
        <w:t xml:space="preserve">An open-source, 3D printed inkjet DNA synthesizer.</w:t>
      </w:r>
      <w:r>
        <w:t xml:space="preserve">”</w:t>
      </w:r>
      <w:r>
        <w:t xml:space="preserve"> </w:t>
      </w:r>
      <w:r>
        <w:rPr>
          <w:i/>
        </w:rPr>
        <w:t xml:space="preserve">Scientific Reports</w:t>
      </w:r>
      <w:r>
        <w:t xml:space="preserve">, 14, 3773. https://doi.org/10.1038/s41598-024-53944-x</w:t>
      </w:r>
    </w:p>
    <w:p>
      <w:pPr>
        <w:pStyle w:val="BodyText"/>
      </w:pPr>
      <w:r>
        <w:rPr>
          <w:b/>
        </w:rPr>
        <w:t xml:space="preserve">Key Technical Specifications:</w:t>
      </w:r>
      <w:r>
        <w:t xml:space="preserve"> </w:t>
      </w:r>
      <w:r>
        <w:t xml:space="preserve">- Synthesized oligonucleotides on 144 spots on a 15 × 25-mm silicon wafer filled with controlled-pore glass, with ~98% synthesis yield per cycle.</w:t>
      </w:r>
      <w:r>
        <w:t xml:space="preserve"> </w:t>
      </w:r>
      <w:r>
        <w:rPr>
          <w:i/>
        </w:rPr>
        <w:t xml:space="preserve">This is per-step coupling efficiency, not full-length correct-product fraction.</w:t>
      </w:r>
      <w:r>
        <w:t xml:space="preserve"> </w:t>
      </w:r>
      <w:r>
        <w:t xml:space="preserve">The two diverge sharply with length: at 98%/step a 30-mer is ~55% full-length and a 50-mer is &lt;40%. OpenIDS2 (below) measured ~96.1%/step and only ~56% full-length for a 15-mer.</w:t>
      </w:r>
      <w:r>
        <w:t xml:space="preserve"> </w:t>
      </w:r>
      <w:r>
        <w:rPr>
          <w:b/>
        </w:rPr>
        <w:t xml:space="preserve">Usable high-fidelity length is therefore ~15–30 nt, and OpenIDS output is not directly assembly-ready for gene-length constructs.</w:t>
      </w:r>
      <w:r>
        <w:t xml:space="preserve"> </w:t>
      </w:r>
      <w:r>
        <w:t xml:space="preserve">- Architecture: 3D printing, Arduino, and Raspberry Pi, with an industrial Xaar-128 inkjet printhead.</w:t>
      </w:r>
      <w:r>
        <w:t xml:space="preserve"> </w:t>
      </w:r>
      <w:r>
        <w:t xml:space="preserve">- Low production cost suits self-fabrication in academic labs; even non-experts can build and control it.</w:t>
      </w:r>
    </w:p>
    <w:p>
      <w:pPr>
        <w:pStyle w:val="BodyText"/>
      </w:pPr>
      <w:r>
        <w:rPr>
          <w:b/>
        </w:rPr>
        <w:t xml:space="preserve">Cost Analysis:</w:t>
      </w:r>
      <w:r>
        <w:t xml:space="preserve"> </w:t>
      </w:r>
      <w:r>
        <w:t xml:space="preserve">- Full 5-printhead system:</w:t>
      </w:r>
      <w:r>
        <w:t xml:space="preserve"> </w:t>
      </w:r>
      <w:r>
        <w:rPr>
          <w:b/>
        </w:rPr>
        <w:t xml:space="preserve">~$19,900</w:t>
      </w:r>
      <w:r>
        <w:t xml:space="preserve"> </w:t>
      </w:r>
      <w:r>
        <w:t xml:space="preserve">(vs $34,000 for the earlier POSaM system, and $15–30K for used commercial synthesizers).</w:t>
      </w:r>
      <w:r>
        <w:t xml:space="preserve"> </w:t>
      </w:r>
      <w:r>
        <w:t xml:space="preserve">- Consumables ~$100–500 for the initial build; ~$1–5 per sequence at scale (1000+ sequences).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r>
        <w:t xml:space="preserve">https://github.com/regiregire/OpenIDS (archived, superseded by OpenIDS2).</w:t>
      </w:r>
    </w:p>
    <w:p>
      <w:pPr>
        <w:pStyle w:val="BodyText"/>
      </w:pPr>
      <w:r>
        <w:rPr>
          <w:b/>
        </w:rPr>
        <w:t xml:space="preserve">Follow-up — OpenIDS2 (2025):</w:t>
      </w:r>
      <w:r>
        <w:t xml:space="preserve"> </w:t>
      </w:r>
      <w:r>
        <w:t xml:space="preserve">Kim, Kim &amp; Bang,</w:t>
      </w:r>
      <w:r>
        <w:t xml:space="preserve"> </w:t>
      </w:r>
      <w:r>
        <w:rPr>
          <w:i/>
        </w:rPr>
        <w:t xml:space="preserve">PLOS ONE</w:t>
      </w:r>
      <w:r>
        <w:t xml:space="preserve"> </w:t>
      </w:r>
      <w:r>
        <w:t xml:space="preserve">20(12):e0338478. Reduces device volume to ~⅓, integrates a custom PCB, and replaces ~$4K of commercial syringe pumps with 3D-printed peristaltic pumps (&lt;$164).</w:t>
      </w:r>
      <w:r>
        <w:t xml:space="preserve"> </w:t>
      </w:r>
      <w:r>
        <w:rPr>
          <w:b/>
        </w:rPr>
        <w:t xml:space="preserve">Total build cost ~$4,000 — about 20% of OpenIDS v1</w:t>
      </w:r>
      <w:r>
        <w:t xml:space="preserve"> </w:t>
      </w:r>
      <w:r>
        <w:rPr>
          <w:i/>
        </w:rPr>
        <w:t xml:space="preserve">(correction: an earlier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~$12K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figure is not in the paper).</w:t>
      </w:r>
      <w:r>
        <w:t xml:space="preserve"> </w:t>
      </w:r>
      <w:r>
        <w:t xml:space="preserve">Reported ~96.1%/step; ~56.2% full-length for a 15-mer poly-dT (urea-PAGE + HPLC). Full open package (Gerber/CAD/BOM/code): https://github.com/regiregire/OpenIDS2.</w:t>
      </w:r>
    </w:p>
    <w:p>
      <w:pPr>
        <w:pStyle w:val="BodyText"/>
      </w:pPr>
      <w:r>
        <w:rPr>
          <w:b/>
        </w:rPr>
        <w:t xml:space="preserve">Chemistry innovation:</w:t>
      </w:r>
      <w:r>
        <w:t xml:space="preserve"> </w:t>
      </w:r>
      <w:r>
        <w:t xml:space="preserve">Propylene carbonate (PC) replaces acetonitrile as the inkjet solvent (94–98% coupling).</w:t>
      </w:r>
      <w:r>
        <w:t xml:space="preserve"> </w:t>
      </w:r>
      <w:r>
        <w:rPr>
          <w:i/>
        </w:rPr>
        <w:t xml:space="preserve">Biosecurity implication:</w:t>
      </w:r>
      <w:r>
        <w:t xml:space="preserve"> </w:t>
      </w:r>
      <w:r>
        <w:t xml:space="preserve">PC is a food additive / industrial solvent — effectively unregulated, unlike acetonitrile.</w:t>
      </w:r>
    </w:p>
    <w:p>
      <w:pPr>
        <w:pStyle w:val="BodyText"/>
      </w:pPr>
      <w:r>
        <w:rPr>
          <w:b/>
        </w:rPr>
        <w:t xml:space="preserve">Forensically relevant build detail:</w:t>
      </w:r>
      <w:r>
        <w:t xml:space="preserve"> </w:t>
      </w:r>
      <w:r>
        <w:t xml:space="preserve">the published OpenIDS protocol</w:t>
      </w:r>
      <w:r>
        <w:t xml:space="preserve"> </w:t>
      </w:r>
      <w:r>
        <w:rPr>
          <w:b/>
        </w:rPr>
        <w:t xml:space="preserve">omits the capping step</w:t>
      </w:r>
      <w:r>
        <w:t xml:space="preserve">. Because the diagnostic G→A substitution signature of column phosphoramidite chemistry is capping-driven (Masaki et al., 2022), OpenIDS oligos are expected to carry a</w:t>
      </w:r>
      <w:r>
        <w:t xml:space="preserve"> </w:t>
      </w:r>
      <w:r>
        <w:rPr>
          <w:b/>
        </w:rPr>
        <w:t xml:space="preserve">distinguishable error phenotype</w:t>
      </w:r>
      <w:r>
        <w:t xml:space="preserve"> </w:t>
      </w:r>
      <w:r>
        <w:t xml:space="preserve">relative to standard capped column synthesis — the DIY-specific signature developed in the attribution framework (Chapter 4).</w:t>
      </w:r>
    </w:p>
    <w:p>
      <w:pPr>
        <w:pStyle w:val="Heading3"/>
      </w:pPr>
      <w:bookmarkStart w:id="25" w:name="X167deb06a9133f75c9a806f0fa5c24705605956"/>
      <w:r>
        <w:t xml:space="preserve">1.2 DropSynth: Emulsion Gene Assembly (Research method) —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de novo synthesizer</w:t>
      </w:r>
      <w:bookmarkEnd w:id="25"/>
    </w:p>
    <w:p>
      <w:pPr>
        <w:pStyle w:val="FirstParagraph"/>
      </w:pPr>
      <w:r>
        <w:rPr>
          <w:b/>
        </w:rPr>
        <w:t xml:space="preserve">Primary Reference:</w:t>
      </w:r>
      <w:r>
        <w:t xml:space="preserve"> </w:t>
      </w:r>
      <w:r>
        <w:t xml:space="preserve">Sidore et al. (2020),</w:t>
      </w:r>
      <w:r>
        <w:t xml:space="preserve"> </w:t>
      </w:r>
      <w:r>
        <w:t xml:space="preserve">“</w:t>
      </w:r>
      <w:r>
        <w:t xml:space="preserve">DropSynth 2.0: high-fidelity multiplexed gene synthesis in emulsions,</w:t>
      </w:r>
      <w:r>
        <w:t xml:space="preserve">”</w:t>
      </w:r>
      <w:r>
        <w:t xml:space="preserve"> </w:t>
      </w:r>
      <w:r>
        <w:rPr>
          <w:i/>
        </w:rPr>
        <w:t xml:space="preserve">Nucleic Acids Research</w:t>
      </w:r>
      <w:r>
        <w:t xml:space="preserve">, 48(16), e95 (DOI 10.1093/nar/gkaa600); orig. Plesa et al. (2018),</w:t>
      </w:r>
      <w:r>
        <w:t xml:space="preserve"> </w:t>
      </w:r>
      <w:r>
        <w:rPr>
          <w:i/>
        </w:rPr>
        <w:t xml:space="preserve">Science</w:t>
      </w:r>
      <w:r>
        <w:t xml:space="preserve"> </w:t>
      </w:r>
      <w:r>
        <w:t xml:space="preserve">359:343 (DOI 10.1126/science.aao5167).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Genes are bioinformatically split into oligos, each tagged with a 12-nt microbead barcode common to all oligos of one gene; a</w:t>
      </w:r>
      <w:r>
        <w:t xml:space="preserve"> </w:t>
      </w:r>
      <w:r>
        <w:rPr>
          <w:b/>
        </w:rPr>
        <w:t xml:space="preserve">commercial microarray oligo pool</w:t>
      </w:r>
      <w:r>
        <w:t xml:space="preserve"> </w:t>
      </w:r>
      <w:r>
        <w:t xml:space="preserve">is amplified, nicked to expose the barcode, and hybridised to a pool of barcoded magnetic beads so each bead captures one gene’s oligos. Beads are compartmentalised</w:t>
      </w:r>
      <w:r>
        <w:t xml:space="preserve"> </w:t>
      </w:r>
      <w:r>
        <w:rPr>
          <w:b/>
        </w:rPr>
        <w:t xml:space="preserve">by vortexing</w:t>
      </w:r>
      <w:r>
        <w:t xml:space="preserve"> </w:t>
      </w:r>
      <w:r>
        <w:t xml:space="preserve">into picolitre water-in-oil droplets, and the gene is assembled inside each droplet (PCA in 1.0/2.0; Golden Gate in DropSynth-Gold, 2026).</w:t>
      </w:r>
    </w:p>
    <w:p>
      <w:pPr>
        <w:pStyle w:val="BodyText"/>
      </w:pPr>
      <w:r>
        <w:rPr>
          <w:b/>
        </w:rPr>
        <w:t xml:space="preserve">Corrections vs the earlier draft (from 2026 verification):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microfluidic chip and no cleanroom.</w:t>
      </w:r>
      <w:r>
        <w:t xml:space="preserve"> </w:t>
      </w:r>
      <w:r>
        <w:t xml:space="preserve">The emulsion is made with a</w:t>
      </w:r>
      <w:r>
        <w:t xml:space="preserve"> </w:t>
      </w:r>
      <w:r>
        <w:rPr>
          <w:b/>
        </w:rPr>
        <w:t xml:space="preserve">Vortex Genie 2</w:t>
      </w:r>
      <w:r>
        <w:t xml:space="preserve"> </w:t>
      </w:r>
      <w:r>
        <w:t xml:space="preserve">and BioRad droplet-generation oil — deliberately</w:t>
      </w:r>
      <w:r>
        <w:t xml:space="preserve"> </w:t>
      </w:r>
      <w:r>
        <w:t xml:space="preserve">“</w:t>
      </w:r>
      <w:r>
        <w:t xml:space="preserve">poor-man’s</w:t>
      </w:r>
      <w:r>
        <w:t xml:space="preserve">”</w:t>
      </w:r>
      <w:r>
        <w:t xml:space="preserve"> </w:t>
      </w:r>
      <w:r>
        <w:t xml:space="preserve">compartmentalisation. The equipment is a standard molecular-biology kit (thermocycler, magnet, vortex, gel). The earlier</w:t>
      </w:r>
      <w:r>
        <w:t xml:space="preserve"> </w:t>
      </w:r>
      <w:r>
        <w:t xml:space="preserve">“</w:t>
      </w:r>
      <w:r>
        <w:t xml:space="preserve">microfluidic chip fabrication / fab access required</w:t>
      </w:r>
      <w:r>
        <w:t xml:space="preserve">”</w:t>
      </w:r>
      <w:r>
        <w:t xml:space="preserve"> </w:t>
      </w:r>
      <w:r>
        <w:t xml:space="preserve">framing was</w:t>
      </w:r>
      <w:r>
        <w:t xml:space="preserve"> </w:t>
      </w:r>
      <w:r>
        <w:rPr>
          <w:b/>
        </w:rPr>
        <w:t xml:space="preserve">incorrect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Capital is a ~$3,400 barcoded-bead pool</w:t>
      </w:r>
      <w:r>
        <w:t xml:space="preserve"> </w:t>
      </w:r>
      <w:r>
        <w:t xml:space="preserve">(good for ~200 reactions, ~$0.04/gene amortised),</w:t>
      </w:r>
      <w:r>
        <w:t xml:space="preserve"> </w:t>
      </w:r>
      <w:r>
        <w:rPr>
          <w:b/>
        </w:rPr>
        <w:t xml:space="preserve">not</w:t>
      </w:r>
      <w:r>
        <w:rPr>
          <w:b/>
        </w:rPr>
        <w:t xml:space="preserve"> </w:t>
      </w:r>
      <w:r>
        <w:rPr>
          <w:vertAlign w:val="subscript"/>
          <w:b/>
        </w:rPr>
        <w:t xml:space="preserve">$75K</w:t>
      </w:r>
      <w:r>
        <w:rPr>
          <w:b/>
          <w:vertAlign w:val="subscript"/>
          <w:b/>
        </w:rPr>
        <w:t xml:space="preserve">; per-gene reagents+oligos are</w:t>
      </w:r>
      <w:r>
        <w:rPr>
          <w:b/>
          <w:vertAlign w:val="subscript"/>
          <w:b/>
        </w:rPr>
        <w:t xml:space="preserve"> </w:t>
      </w:r>
      <w:r>
        <w:rPr>
          <w:b/>
        </w:rPr>
        <w:t xml:space="preserve">$1–2</w:t>
      </w:r>
      <w:r>
        <w:t xml:space="preserve"> </w:t>
      </w:r>
      <w:r>
        <w:t xml:space="preserve">(384-plex), lower at 1536-plex.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It is assembly, not synthesis.</w:t>
      </w:r>
      <w:r>
        <w:t xml:space="preserve"> </w:t>
      </w:r>
      <w:r>
        <w:t xml:space="preserve">DropSynth makes no new nucleotides — it multiplexes access to genes from an upstream</w:t>
      </w:r>
      <w:r>
        <w:t xml:space="preserve"> </w:t>
      </w:r>
      <w:r>
        <w:rPr>
          <w:b/>
        </w:rPr>
        <w:t xml:space="preserve">commercial oligo pool</w:t>
      </w:r>
      <w:r>
        <w:t xml:space="preserve">, so it</w:t>
      </w:r>
      <w:r>
        <w:t xml:space="preserve"> </w:t>
      </w:r>
      <w:r>
        <w:rPr>
          <w:b/>
        </w:rPr>
        <w:t xml:space="preserve">inherits the screening perimeter</w:t>
      </w:r>
      <w:r>
        <w:t xml:space="preserve"> </w:t>
      </w:r>
      <w:r>
        <w:t xml:space="preserve">rather than escaping it.</w:t>
      </w:r>
    </w:p>
    <w:p>
      <w:pPr>
        <w:pStyle w:val="BodyText"/>
      </w:pPr>
      <w:r>
        <w:rPr>
          <w:b/>
        </w:rPr>
        <w:t xml:space="preserve">Reproducibility:</w:t>
      </w:r>
      <w:r>
        <w:t xml:space="preserve"> </w:t>
      </w:r>
      <w:r>
        <w:t xml:space="preserve">strong — now developed in the Plesa lab (U. Oregon), with open protocols/code at dropsynth.org and a commercial offering (SynPlexity, 2025). Fidelity ~23–28% perfect assemblies (2.0); newer generations reach ~1 kb (Degenerate DropSynth, 2023) and ~3 kb (DropSynth-Gold, 2026).</w:t>
      </w:r>
    </w:p>
    <w:p>
      <w:pPr>
        <w:pStyle w:val="BodyText"/>
      </w:pPr>
      <w:r>
        <w:rPr>
          <w:b/>
        </w:rPr>
        <w:t xml:space="preserve">2025 peer — OMEGA</w:t>
      </w:r>
      <w:r>
        <w:t xml:space="preserve"> </w:t>
      </w:r>
      <w:r>
        <w:t xml:space="preserve">(Romero lab, bioRxiv 2025, DOI 10.1101/2025.03.22.644747): pooled</w:t>
      </w:r>
      <w:r>
        <w:t xml:space="preserve"> </w:t>
      </w:r>
      <w:r>
        <w:rPr>
          <w:b/>
        </w:rPr>
        <w:t xml:space="preserve">Golden Gate</w:t>
      </w:r>
      <w:r>
        <w:t xml:space="preserve"> </w:t>
      </w:r>
      <w:r>
        <w:t xml:space="preserve">gene assembly with</w:t>
      </w:r>
      <w:r>
        <w:t xml:space="preserve"> </w:t>
      </w:r>
      <w:r>
        <w:rPr>
          <w:b/>
        </w:rPr>
        <w:t xml:space="preserve">no beads and no emulsion</w:t>
      </w:r>
      <w:r>
        <w:t xml:space="preserve"> </w:t>
      </w:r>
      <w:r>
        <w:t xml:space="preserve">(pure standard-lab), ~$1.50/gene, up to 2.6 kb, 94–97% recovery — arguably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DIY than DropSynth, and the main current alternative for cheap pooled gene libraries.</w:t>
      </w:r>
    </w:p>
    <w:p>
      <w:pPr>
        <w:pStyle w:val="Heading3"/>
      </w:pPr>
      <w:bookmarkStart w:id="26" w:name="X6b70bb5c615d044f1d41cd5a5dbdb77b73eb84d"/>
      <w:r>
        <w:t xml:space="preserve">1.3 MAS 2.0 / Advanced Maskless Synthesizer — open-source photolithographic synthesis</w:t>
      </w:r>
      <w:r>
        <w:t xml:space="preserve"> </w:t>
      </w:r>
      <w:r>
        <w:rPr>
          <w:i/>
        </w:rPr>
        <w:t xml:space="preserve">(new)</w:t>
      </w:r>
      <w:bookmarkEnd w:id="26"/>
    </w:p>
    <w:p>
      <w:pPr>
        <w:pStyle w:val="FirstParagraph"/>
      </w:pPr>
      <w:r>
        <w:rPr>
          <w:b/>
        </w:rPr>
        <w:t xml:space="preserve">Primary Reference:</w:t>
      </w:r>
      <w:r>
        <w:t xml:space="preserve"> </w:t>
      </w:r>
      <w:r>
        <w:t xml:space="preserve">Somoza group,</w:t>
      </w:r>
      <w:r>
        <w:t xml:space="preserve"> </w:t>
      </w:r>
      <w:r>
        <w:t xml:space="preserve">“</w:t>
      </w:r>
      <w:r>
        <w:t xml:space="preserve">Advanced Maskless Synthesizer (MAS 2.0),</w:t>
      </w:r>
      <w:r>
        <w:t xml:space="preserve">”</w:t>
      </w:r>
      <w:r>
        <w:t xml:space="preserve"> </w:t>
      </w:r>
      <w:r>
        <w:t xml:space="preserve">ChemRxiv 2024, DOI 10.26434/chemrxiv-2024-j4c90.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phosphoramidite synthesis using</w:t>
      </w:r>
      <w:r>
        <w:t xml:space="preserve"> </w:t>
      </w:r>
      <w:r>
        <w:rPr>
          <w:b/>
        </w:rPr>
        <w:t xml:space="preserve">photolabile 5′-protecting groups</w:t>
      </w:r>
      <w:r>
        <w:t xml:space="preserve"> </w:t>
      </w:r>
      <w:r>
        <w:t xml:space="preserve">(NPPOC/BzNPPOC) instead of acid-labile DMT. A</w:t>
      </w:r>
      <w:r>
        <w:t xml:space="preserve"> </w:t>
      </w:r>
      <w:r>
        <w:rPr>
          <w:b/>
        </w:rPr>
        <w:t xml:space="preserve">digital micromirror device (DMD)</w:t>
      </w:r>
      <w:r>
        <w:t xml:space="preserve"> </w:t>
      </w:r>
      <w:r>
        <w:t xml:space="preserve">patterns ~365 nm UV onto the substrate, photo-deprotecting only illuminated features so the next amidite couples only there (</w:t>
      </w:r>
      <w:r>
        <w:t xml:space="preserve">“</w:t>
      </w:r>
      <w:r>
        <w:t xml:space="preserve">maskless</w:t>
      </w:r>
      <w:r>
        <w:t xml:space="preserve">”</w:t>
      </w:r>
      <w:r>
        <w:t xml:space="preserve"> </w:t>
      </w:r>
      <w:r>
        <w:t xml:space="preserve">= the DMD replaces physical photomasks). 1.5 µm feature resolution.</w:t>
      </w:r>
    </w:p>
    <w:p>
      <w:pPr>
        <w:pStyle w:val="BodyText"/>
      </w:pPr>
      <w:r>
        <w:rPr>
          <w:b/>
        </w:rPr>
        <w:t xml:space="preserve">Why it matters here:</w:t>
      </w:r>
      <w:r>
        <w:t xml:space="preserve"> </w:t>
      </w:r>
      <w:r>
        <w:t xml:space="preserve">this is the first</w:t>
      </w:r>
      <w:r>
        <w:t xml:space="preserve"> </w:t>
      </w:r>
      <w:r>
        <w:rPr>
          <w:b/>
        </w:rPr>
        <w:t xml:space="preserve">fully open-source, reproducible</w:t>
      </w:r>
      <w:r>
        <w:t xml:space="preserve"> </w:t>
      </w:r>
      <w:r>
        <w:t xml:space="preserve">photolithographic synthesizer — full CAD/STL/optical drawings, a costed component list, Python control software, and a chemistry/process manual. It uses off-the-shelf optics + a high-power UV LED and</w:t>
      </w:r>
      <w:r>
        <w:t xml:space="preserve"> </w:t>
      </w:r>
      <w:r>
        <w:rPr>
          <w:b/>
        </w:rPr>
        <w:t xml:space="preserve">needs no cleanroom</w:t>
      </w:r>
      <w:r>
        <w:t xml:space="preserve"> </w:t>
      </w:r>
      <w:r>
        <w:t xml:space="preserve">(unlike electrochemical). Barriers: optics alignment, DMD control, anhydrous amidite fluidics, and</w:t>
      </w:r>
      <w:r>
        <w:t xml:space="preserve"> </w:t>
      </w:r>
      <w:r>
        <w:rPr>
          <w:b/>
        </w:rPr>
        <w:t xml:space="preserve">specialty photolabile amidites</w:t>
      </w:r>
      <w:r>
        <w:t xml:space="preserve"> </w:t>
      </w:r>
      <w:r>
        <w:t xml:space="preserve">(available but not commodity). Capital is in the tens of $K (exact figure in the supplementary spreadsheet; flag as unverified). It is the</w:t>
      </w:r>
      <w:r>
        <w:t xml:space="preserve"> </w:t>
      </w:r>
      <w:r>
        <w:rPr>
          <w:b/>
        </w:rPr>
        <w:t xml:space="preserve">DIY instantiation of the photolithographic class reproduced in Chapter 4 (Lietard)</w:t>
      </w:r>
      <w:r>
        <w:t xml:space="preserve"> </w:t>
      </w:r>
      <w:r>
        <w:t xml:space="preserve">— closing the loop between the DIY landscape and the attribution atlas. Output is library-grade (error-prone, handled by downstream selection), not per-strand perfect.</w:t>
      </w:r>
    </w:p>
    <w:p>
      <w:pPr>
        <w:pStyle w:val="BodyText"/>
      </w:pPr>
      <w:r>
        <w:rPr>
          <w:i/>
        </w:rPr>
        <w:t xml:space="preserve">Historical predecessor:</w:t>
      </w:r>
      <w:r>
        <w:t xml:space="preserve"> </w:t>
      </w:r>
      <w:r>
        <w:rPr>
          <w:b/>
        </w:rPr>
        <w:t xml:space="preserve">POSaM</w:t>
      </w:r>
      <w:r>
        <w:t xml:space="preserve"> </w:t>
      </w:r>
      <w:r>
        <w:t xml:space="preserve">(Lausted et al.,</w:t>
      </w:r>
      <w:r>
        <w:t xml:space="preserve"> </w:t>
      </w:r>
      <w:r>
        <w:rPr>
          <w:i/>
        </w:rPr>
        <w:t xml:space="preserve">Genome Biol.</w:t>
      </w:r>
      <w:r>
        <w:t xml:space="preserve"> </w:t>
      </w:r>
      <w:r>
        <w:t xml:space="preserve">2004, 5:R58) — the original open-source inkjet synthesizer (~$34K) OpenIDS builds on; documents that open synthesizer designs are 20 years old.</w:t>
      </w:r>
    </w:p>
    <w:p>
      <w:pPr>
        <w:pStyle w:val="Heading3"/>
      </w:pPr>
      <w:bookmarkStart w:id="27" w:name="X2bbf747ac5832a8e3c65fe22b5b1e0441b59906"/>
      <w:r>
        <w:t xml:space="preserve">1.4 Electrochemical DNA Synthesis (Pre-Commercial; no DIY build)</w:t>
      </w:r>
      <w:bookmarkEnd w:id="27"/>
    </w:p>
    <w:p>
      <w:pPr>
        <w:pStyle w:val="FirstParagraph"/>
      </w:pPr>
      <w:r>
        <w:rPr>
          <w:b/>
        </w:rPr>
        <w:t xml:space="preserve">Technical approach:</w:t>
      </w:r>
      <w:r>
        <w:t xml:space="preserve"> </w:t>
      </w:r>
      <w:r>
        <w:t xml:space="preserve">phosphoramidite chemistry with electrochemically-generated-acid (EGA) deprotection — a positive potential at an electrode generates protons that strip the DMT group locally, giving per-pixel spatial selectivity.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Xu et al. (2021),</w:t>
      </w:r>
      <w:r>
        <w:t xml:space="preserve"> </w:t>
      </w:r>
      <w:r>
        <w:rPr>
          <w:i/>
        </w:rPr>
        <w:t xml:space="preserve">Science Advances</w:t>
      </w:r>
      <w:r>
        <w:t xml:space="preserve">, 7(46), eabk0100 (DOI 10.1126/sciadv.abk0100).</w:t>
      </w:r>
      <w:r>
        <w:t xml:space="preserve"> </w:t>
      </w:r>
      <w:r>
        <w:rPr>
          <w:i/>
        </w:rPr>
        <w:t xml:space="preserve">Context caveat:</w:t>
      </w:r>
      <w:r>
        <w:t xml:space="preserve"> </w:t>
      </w:r>
      <w:r>
        <w:t xml:space="preserve">this is a DNA data-storage demonstration synthesizing a</w:t>
      </w:r>
      <w:r>
        <w:t xml:space="preserve"> </w:t>
      </w:r>
      <w:r>
        <w:rPr>
          <w:b/>
        </w:rPr>
        <w:t xml:space="preserve">13-mer</w:t>
      </w:r>
      <w:r>
        <w:t xml:space="preserve"> </w:t>
      </w:r>
      <w:r>
        <w:t xml:space="preserve">on electrodes, not a general-purpose synthesizer.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the EGA mechanism is well established — CombiMatrix/CustomArray commercialised electrochemical array synthesis (acquired by GenScript, 2017), and Egeland &amp; Southern (2005) demonstrated 17-mers —</w:t>
      </w:r>
      <w:r>
        <w:t xml:space="preserve"> </w:t>
      </w:r>
      <w:r>
        <w:rPr>
          <w:b/>
        </w:rPr>
        <w:t xml:space="preserve">but a benchtop, gene-length, DIY-accessible electrochemical synthesizer remains pre-commercial, and a 2026 survey found no independent/open build published anywhere.</w:t>
      </w:r>
      <w:r>
        <w:t xml:space="preserve"> </w:t>
      </w:r>
      <w:r>
        <w:t xml:space="preserve">The barrier is custom CMOS/microelectrode fabrication (cleanroom/foundry). No such device appears in the 34-firm landscape (Part 2), corroborating the TRL-3 assessment for the DIY-relevant form. (This is the class reproduced from the</w:t>
      </w:r>
      <w:r>
        <w:t xml:space="preserve"> </w:t>
      </w:r>
      <w:r>
        <w:rPr>
          <w:i/>
        </w:rPr>
        <w:t xml:space="preserve">commercial</w:t>
      </w:r>
      <w:r>
        <w:t xml:space="preserve"> </w:t>
      </w:r>
      <w:r>
        <w:t xml:space="preserve">side as the Gimpel/Genscript electrochemical fingerprint in Chapter 4.)</w:t>
      </w:r>
    </w:p>
    <w:p>
      <w:pPr>
        <w:pStyle w:val="Heading3"/>
      </w:pPr>
      <w:bookmarkStart w:id="28" w:name="X962aa0e3cbb8cccdf21b93ff039ae681f43ec92"/>
      <w:r>
        <w:t xml:space="preserve">1.5 Enzymatic DNA Synthesis — and whether a lab can do it alone</w:t>
      </w:r>
      <w:bookmarkEnd w:id="28"/>
    </w:p>
    <w:p>
      <w:pPr>
        <w:pStyle w:val="FirstParagraph"/>
      </w:pPr>
      <w:r>
        <w:rPr>
          <w:b/>
        </w:rPr>
        <w:t xml:space="preserve">Technology:</w:t>
      </w:r>
      <w:r>
        <w:t xml:space="preserve"> </w:t>
      </w:r>
      <w:r>
        <w:t xml:space="preserve">Terminal deoxynucleotidyl transferase (TdT), template-independent single-nucleotide addition — Palluk, Arlow, de Rond et al. (2018),</w:t>
      </w:r>
      <w:r>
        <w:t xml:space="preserve"> </w:t>
      </w:r>
      <w:r>
        <w:rPr>
          <w:i/>
        </w:rPr>
        <w:t xml:space="preserve">Nature Biotechnology</w:t>
      </w:r>
      <w:r>
        <w:t xml:space="preserve">, 36(7), 645–650 (DOI 10.1038/nbt.4173).</w:t>
      </w:r>
    </w:p>
    <w:p>
      <w:pPr>
        <w:pStyle w:val="BodyText"/>
      </w:pPr>
      <w:r>
        <w:rPr>
          <w:b/>
        </w:rPr>
        <w:t xml:space="preserve">Can enzymatic synthesis be done independently in a lab?</w:t>
      </w:r>
      <w:r>
        <w:t xml:space="preserve"> </w:t>
      </w:r>
      <w:r>
        <w:t xml:space="preserve">The 2026 survey gives a nuanced 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Off-the-shelf DIY, but data-storage only:</w:t>
      </w:r>
      <w:r>
        <w:t xml:space="preserve"> </w:t>
      </w:r>
      <w:r>
        <w:t xml:space="preserve">the Church</w:t>
      </w:r>
      <w:r>
        <w:t xml:space="preserve"> </w:t>
      </w:r>
      <w:r>
        <w:t xml:space="preserve">“</w:t>
      </w:r>
      <w:r>
        <w:t xml:space="preserve">terminator-free / kinetic</w:t>
      </w:r>
      <w:r>
        <w:t xml:space="preserve">”</w:t>
      </w:r>
      <w:r>
        <w:t xml:space="preserve"> </w:t>
      </w:r>
      <w:r>
        <w:t xml:space="preserve">route (Lee et al., 2019,</w:t>
      </w:r>
      <w:r>
        <w:t xml:space="preserve"> </w:t>
      </w:r>
      <w:r>
        <w:rPr>
          <w:i/>
        </w:rPr>
        <w:t xml:space="preserve">Nat. Commun.</w:t>
      </w:r>
      <w:r>
        <w:t xml:space="preserve"> </w:t>
      </w:r>
      <w:r>
        <w:t xml:space="preserve">10:2383) uses</w:t>
      </w:r>
      <w:r>
        <w:t xml:space="preserve"> </w:t>
      </w:r>
      <w:r>
        <w:rPr>
          <w:b/>
        </w:rPr>
        <w:t xml:space="preserve">commercial TdT + natural dNTPs + apyrase</w:t>
      </w:r>
      <w:r>
        <w:t xml:space="preserve"> </w:t>
      </w:r>
      <w:r>
        <w:t xml:space="preserve">— no engineered enzyme, no modified nucleotides. But it encodes information in nucleotide</w:t>
      </w:r>
      <w:r>
        <w:t xml:space="preserve"> </w:t>
      </w:r>
      <w:r>
        <w:rPr>
          <w:i/>
        </w:rPr>
        <w:t xml:space="preserve">transitions</w:t>
      </w:r>
      <w:r>
        <w:t xml:space="preserve"> </w:t>
      </w:r>
      <w:r>
        <w:t xml:space="preserve">(stochastic homopolymer runs), so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produce a defined arbitrary sequence; it needs a codec + sequencing readout. Realistic for data storage, not for making a specified oligo.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Defined sequence, but bespoke reagents (well-resourced lab only):</w:t>
      </w:r>
      <w:r>
        <w:t xml:space="preserve"> </w:t>
      </w:r>
      <w:r>
        <w:t xml:space="preserve">the TdT–dNTP-conjugate (Palluk 2018) and 3′-O reversible-terminator routes produce defined sequence but require</w:t>
      </w:r>
      <w:r>
        <w:t xml:space="preserve"> </w:t>
      </w:r>
      <w:r>
        <w:rPr>
          <w:b/>
        </w:rPr>
        <w:t xml:space="preserve">expressing engineered TdT mutants and synthesising/conjugating modified nucleotides yourself</w:t>
      </w:r>
      <w:r>
        <w:t xml:space="preserve"> </w:t>
      </w:r>
      <w:r>
        <w:t xml:space="preserve">— reproducible from the papers, but</w:t>
      </w:r>
      <w:r>
        <w:t xml:space="preserve"> </w:t>
      </w:r>
      <w:r>
        <w:rPr>
          <w:b/>
        </w:rPr>
        <w:t xml:space="preserve">no reagents are sold as a kit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Turnkey, but not DIY:</w:t>
      </w:r>
      <w:r>
        <w:t xml:space="preserve"> </w:t>
      </w:r>
      <w:r>
        <w:t xml:space="preserve">DNA Script SYNTAX (engineered TdT + proprietary 3′-blocked terminators + instrument) reaches 80–120 nt at high fidelity —</w:t>
      </w:r>
      <w:r>
        <w:t xml:space="preserve"> </w:t>
      </w:r>
      <w:r>
        <w:rPr>
          <w:b/>
        </w:rPr>
        <w:t xml:space="preserve">proprietary enzyme, nucleotides, and instrument; not reproducible</w:t>
      </w:r>
      <w:r>
        <w:t xml:space="preserve">.</w:t>
      </w:r>
      <w:r>
        <w:t xml:space="preserve"> </w:t>
      </w:r>
      <w:r>
        <w:rPr>
          <w:b/>
        </w:rPr>
        <w:t xml:space="preserve">Benchtop ≠ DIY:</w:t>
      </w:r>
      <w:r>
        <w:t xml:space="preserve"> </w:t>
      </w:r>
      <w:r>
        <w:t xml:space="preserve">it is a purchasable device gated by a closed reagent cartridge, which is exactly why the commercial enzymatic route is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controllable than DIY chemical routes.</w:t>
      </w:r>
    </w:p>
    <w:p>
      <w:pPr>
        <w:pStyle w:val="BodyText"/>
      </w:pPr>
      <w:r>
        <w:rPr>
          <w:b/>
        </w:rPr>
        <w:t xml:space="preserve">Instrument capability (vendor-confirmed):</w:t>
      </w:r>
      <w:r>
        <w:t xml:space="preserve"> </w:t>
      </w:r>
      <w:r>
        <w:t xml:space="preserve">SYNTAX synthesizes up to 96 oligos in parallel (80 nt Standard / 120 nt Hi-Fi); instrument ~€250–280K (DNA Script vendor quote, 2026; IFP 2024 STX-200 $292,000 corroborates); on-device desalt/quant/normalise.</w:t>
      </w:r>
    </w:p>
    <w:p>
      <w:pPr>
        <w:pStyle w:val="BodyText"/>
      </w:pPr>
      <w:r>
        <w:rPr>
          <w:b/>
        </w:rPr>
        <w:t xml:space="preserve">Market status:</w:t>
      </w:r>
      <w:r>
        <w:t xml:space="preserve"> </w:t>
      </w:r>
      <w:r>
        <w:t xml:space="preserve">enzymatic DNA synthesis market ~USD 296M (2024) → ~USD 3.16B (2034), ~26.7% CAGR (Precedence/Mordor). Molecular Assemblies licenses its Fully Enzymatic Synthesis (FES) for on-site production (2024).</w:t>
      </w:r>
    </w:p>
    <w:p>
      <w:pPr>
        <w:pStyle w:val="Heading3"/>
      </w:pPr>
      <w:bookmarkStart w:id="29" w:name="Xae9a5c77e36fe2f4d6b581c7835b9d5a147d675"/>
      <w:r>
        <w:t xml:space="preserve">1.6 From Oligos to Genes: Assembly Feasibility and the Fidelity Constraint</w:t>
      </w:r>
      <w:bookmarkEnd w:id="29"/>
    </w:p>
    <w:p>
      <w:pPr>
        <w:pStyle w:val="FirstParagraph"/>
      </w:pPr>
      <w:r>
        <w:t xml:space="preserve">The preceding sections characterise oligonucleotide synthesis. A biosecurity assessment scoped to the synthesis step must state clearly what stands between a DIY oligo synthesizer and a functional gene. The literature supports a precise, and for this project favourable, conclusion:</w:t>
      </w:r>
      <w:r>
        <w:t xml:space="preserve"> </w:t>
      </w:r>
      <w:r>
        <w:rPr>
          <w:b/>
        </w:rPr>
        <w:t xml:space="preserve">assembly of short oligos into genes is standard, decades-old methodology, but converting low-fidelity DIY oligos into a correct functional gene is gated by fidelity and by a downstream error-correction pipeline — not by the oligo length itself.</w:t>
      </w:r>
    </w:p>
    <w:p>
      <w:pPr>
        <w:pStyle w:val="BodyText"/>
      </w:pPr>
      <w:r>
        <w:t xml:space="preserve">Chemical synthesis is limited to ~200 nt, so all gene synthesis proceeds by assembling short oligos. The two routes are</w:t>
      </w:r>
      <w:r>
        <w:t xml:space="preserve"> </w:t>
      </w:r>
      <w:r>
        <w:rPr>
          <w:b/>
        </w:rPr>
        <w:t xml:space="preserve">polymerase cycling assembly (PCA)</w:t>
      </w:r>
      <w:r>
        <w:t xml:space="preserve"> </w:t>
      </w:r>
      <w:r>
        <w:t xml:space="preserve">(overlapping oligos extended by polymerase, then PCR) and</w:t>
      </w:r>
      <w:r>
        <w:t xml:space="preserve"> </w:t>
      </w:r>
      <w:r>
        <w:rPr>
          <w:b/>
        </w:rPr>
        <w:t xml:space="preserve">ligation-based assembly (LCR)</w:t>
      </w:r>
      <w:r>
        <w:t xml:space="preserve"> </w:t>
      </w:r>
      <w:r>
        <w:t xml:space="preserve">(overlapping oligos joined by ligase; lower error rate, more constrained). Both are textbook techniques used by every commercial provider.</w:t>
      </w:r>
    </w:p>
    <w:p>
      <w:pPr>
        <w:pStyle w:val="BodyText"/>
      </w:pPr>
      <w:r>
        <w:t xml:space="preserve">A common assumption is that oligos shorter than ~40–60 nt cannot be assembled. The literature contradicts this as an absolute: the 901 bp GFP gene has been assembled from pools of 16-mers, 30-mers, and 40-mers via LCR + PCA + PCR (USPTO 12,018,316, Example 2). Assembly from oligos in the OpenIDS length range is therefore demonstrated in principle. The practical penalty of short building blocks is not impossibility but</w:t>
      </w:r>
      <w:r>
        <w:t xml:space="preserve"> </w:t>
      </w:r>
      <w:r>
        <w:rPr>
          <w:b/>
        </w:rPr>
        <w:t xml:space="preserve">multiplicity</w:t>
      </w:r>
      <w:r>
        <w:t xml:space="preserve">: a 1 kb gene from 30-mers needs roughly twice the oligos and junctions of one from 60-mers, multiplying error opportunities.</w:t>
      </w:r>
    </w:p>
    <w:p>
      <w:pPr>
        <w:pStyle w:val="BodyText"/>
      </w:pPr>
      <w:r>
        <w:rPr>
          <w:b/>
        </w:rPr>
        <w:t xml:space="preserve">Fidelity, not length, is the binding constraint.</w:t>
      </w:r>
      <w:r>
        <w:t xml:space="preserve"> </w:t>
      </w:r>
      <w:r>
        <w:t xml:space="preserve">Assembly quality is governed by the full-length fraction of the building-block oligos, and errors compound across junctions. Standard practice targets</w:t>
      </w:r>
      <w:r>
        <w:t xml:space="preserve"> </w:t>
      </w:r>
      <w:r>
        <w:rPr>
          <w:b/>
        </w:rPr>
        <w:t xml:space="preserve">&gt;90% full-length</w:t>
      </w:r>
      <w:r>
        <w:t xml:space="preserve"> </w:t>
      </w:r>
      <w:r>
        <w:t xml:space="preserve">oligos; below ~70%, redesign or a different route is indicated. This is where DIY output falls short: OpenIDS2 delivers</w:t>
      </w:r>
      <w:r>
        <w:t xml:space="preserve"> </w:t>
      </w:r>
      <w:r>
        <w:rPr>
          <w:b/>
        </w:rPr>
        <w:t xml:space="preserve">~56% full-length for a 15-mer</w:t>
      </w:r>
      <w:r>
        <w:t xml:space="preserve"> </w:t>
      </w:r>
      <w:r>
        <w:t xml:space="preserve">— far below assembly-grade. The consequence at scale is severe: even from decent oligos, PCA of a ~1 kb fragment yielded only</w:t>
      </w:r>
      <w:r>
        <w:t xml:space="preserve"> </w:t>
      </w:r>
      <w:r>
        <w:rPr>
          <w:b/>
        </w:rPr>
        <w:t xml:space="preserve">4.2 ± 2.1% correct product before error correction, rising to 31.3 ± 3.1% after two rounds</w:t>
      </w:r>
      <w:r>
        <w:t xml:space="preserve"> </w:t>
      </w:r>
      <w:r>
        <w:t xml:space="preserve">(Cui et al., 2024, PMC11547124). From ~56%-full-length building blocks the correct-assembly fraction would be substantially lower.</w:t>
      </w:r>
    </w:p>
    <w:p>
      <w:pPr>
        <w:pStyle w:val="BodyText"/>
      </w:pPr>
      <w:r>
        <w:t xml:space="preserve">Recovering a correct, functional gene from low-fidelity oligos therefore requires a downstream</w:t>
      </w:r>
      <w:r>
        <w:t xml:space="preserve"> </w:t>
      </w:r>
      <w:r>
        <w:rPr>
          <w:b/>
        </w:rPr>
        <w:t xml:space="preserve">error-correction and verification pipeline</w:t>
      </w:r>
      <w:r>
        <w:t xml:space="preserve">: enzymatic mismatch cleavage (T7 endonuclease I and comparable enzymes; benchmarked by Lubock et al., 2017,</w:t>
      </w:r>
      <w:r>
        <w:t xml:space="preserve"> </w:t>
      </w:r>
      <w:r>
        <w:rPr>
          <w:i/>
        </w:rPr>
        <w:t xml:space="preserve">NAR</w:t>
      </w:r>
      <w:r>
        <w:t xml:space="preserve"> </w:t>
      </w:r>
      <w:r>
        <w:t xml:space="preserve">45(15), 9206–9217, DOI 10.1093/nar/gkx691), then clonal selection and sequence verification (Sanger/NGS) — added expertise, reagents, and instrumentation, not a further step of synthesis.</w:t>
      </w:r>
    </w:p>
    <w:p>
      <w:pPr>
        <w:pStyle w:val="BodyText"/>
      </w:pPr>
      <w:r>
        <w:rPr>
          <w:b/>
        </w:rPr>
        <w:t xml:space="preserve">The assembly ceiling.</w:t>
      </w:r>
      <w:r>
        <w:t xml:space="preserve"> </w:t>
      </w:r>
      <w:r>
        <w:t xml:space="preserve">Even with error correction, PCA-based assembly is practically bounded at ~7,000–10,000 bp; beyond that, reliable assembly requires bacterial and yeast host systems, and many viral sequences are toxic to those hosts (NTI, 2023, Box 4). Booting a functional infectious agent adds virus-specific expertise and mammalian cell-culture infrastructure.</w:t>
      </w:r>
    </w:p>
    <w:p>
      <w:pPr>
        <w:pStyle w:val="BodyText"/>
      </w:pPr>
      <w:r>
        <w:rPr>
          <w:b/>
        </w:rPr>
        <w:t xml:space="preserve">Implications (both reinforce the project design):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The binding constraint sits downstream of oligo synthesis.</w:t>
      </w:r>
      <w:r>
        <w:t xml:space="preserve"> </w:t>
      </w:r>
      <w:r>
        <w:t xml:space="preserve">DIY oligo synthesis is real; assembly of short oligos is standard; but converting DIY-grade oligos into a correct functional gene depends on an error-correction/clonal-selection/verification and (beyond ~10 kb) host-system pipeline that is expertise- and equipment-intensive — the same barrier NTI (2023) identifies. This is why the project scopes to synthesis and treats assembly/rescue as</w:t>
      </w:r>
      <w:r>
        <w:t xml:space="preserve"> </w:t>
      </w:r>
      <w:r>
        <w:rPr>
          <w:b/>
        </w:rPr>
        <w:t xml:space="preserve">out of scope (OOS)</w:t>
      </w:r>
      <w:r>
        <w:t xml:space="preserve"> </w:t>
      </w:r>
      <w:r>
        <w:t xml:space="preserve">— a principled boundary.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Synthesis-route error signatures propagate into the assembled product.</w:t>
      </w:r>
      <w:r>
        <w:t xml:space="preserve"> </w:t>
      </w:r>
      <w:r>
        <w:t xml:space="preserve">Because assembly copies the building-block oligos (with their per-route error phenotypes) into the final construct, the synthesis-method signature is in principle detectable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assembly, in the sequenced gene — directly relevant to the attribution framework (Chapter 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a8500648edfa1f4f9cafa5b679874479ff933c"/>
      <w:r>
        <w:t xml:space="preserve">PART 2: Accessibility &amp; Reach of the Commercial Benchtop Landscape</w:t>
      </w:r>
      <w:r>
        <w:t xml:space="preserve"> </w:t>
      </w:r>
      <w:r>
        <w:rPr>
          <w:i/>
        </w:rPr>
        <w:t xml:space="preserve">(baseline; inventory deferred to IBBIS)</w:t>
      </w:r>
      <w:bookmarkEnd w:id="30"/>
    </w:p>
    <w:p>
      <w:pPr>
        <w:pStyle w:val="FirstParagraph"/>
      </w:pPr>
      <w:r>
        <w:t xml:space="preserve">This section moves from chemistry (Part 1) to the products that instantiate it — but, per the realigned scope,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re-inventory manufacturers (the 34-firm list is compiled within the ERA/IBBIS working group; Alexanian, 2026). The contribution here is the</w:t>
      </w:r>
      <w:r>
        <w:t xml:space="preserve"> </w:t>
      </w:r>
      <w:r>
        <w:rPr>
          <w:b/>
        </w:rPr>
        <w:t xml:space="preserve">accessibility-and-reach scoring</w:t>
      </w:r>
      <w:r>
        <w:t xml:space="preserve"> </w:t>
      </w:r>
      <w:r>
        <w:t xml:space="preserve">— jurisdiction, vintage, per-device capability, and the secondhand/legacy channels that place capability outside a mandate — not the census. Per-device security-posture assessment is held pending IBBIS infohazard review.</w:t>
      </w:r>
    </w:p>
    <w:p>
      <w:pPr>
        <w:pStyle w:val="Heading3"/>
      </w:pPr>
      <w:bookmarkStart w:id="31" w:name="jurisdictional-reach-under-a-us-mandate"/>
      <w:r>
        <w:t xml:space="preserve">2.1 Jurisdictional reach under a US mandate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8 of 34</w:t>
      </w:r>
      <w:r>
        <w:t xml:space="preserve"> </w:t>
      </w:r>
      <w:r>
        <w:t xml:space="preserve">manufacturers are US-headquartered (directly bound).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12 of 34</w:t>
      </w:r>
      <w:r>
        <w:t xml:space="preserve"> </w:t>
      </w:r>
      <w:r>
        <w:t xml:space="preserve">are in allied jurisdictions (GB, DE, FR, JP, DK, SE, AT) — reachable via harmonisation/diplomacy.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14 of 34</w:t>
      </w:r>
      <w:r>
        <w:t xml:space="preserve"> </w:t>
      </w:r>
      <w:r>
        <w:t xml:space="preserve">sit outside US and allied reach (13 China, 1 Russia).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 of the 9</w:t>
      </w:r>
      <w:r>
        <w:t xml:space="preserve"> </w:t>
      </w:r>
      <w:r>
        <w:t xml:space="preserve">firms founded since 2019 are outside-jurisdiction, including the highest-throughput array class.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~35% predate 2010</w:t>
      </w:r>
      <w:r>
        <w:t xml:space="preserve"> </w:t>
      </w:r>
      <w:r>
        <w:t xml:space="preserve">— a legacy installed base that cannot be retrofitted with KYC, secure boot, or on-device screening, and where forensic attribution is the only available control layer.</w:t>
      </w:r>
    </w:p>
    <w:p>
      <w:pPr>
        <w:pStyle w:val="FirstParagraph"/>
      </w:pPr>
      <w:r>
        <w:rPr>
          <w:b/>
        </w:rPr>
        <w:t xml:space="preserve">Finding:</w:t>
      </w:r>
      <w:r>
        <w:t xml:space="preserve"> </w:t>
      </w:r>
      <w:r>
        <w:t xml:space="preserve">a US mandate directly reaches under a quarter of known manufacturers, and the newest, most capable capacity is concentrating where it does not reach.</w:t>
      </w:r>
      <w:r>
        <w:t xml:space="preserve"> </w:t>
      </w:r>
      <w:r>
        <w:rPr>
          <w:b/>
        </w:rPr>
        <w:t xml:space="preserve">International harmonisation is load-bearing, not optional.</w:t>
      </w:r>
      <w:r>
        <w:t xml:space="preserve"> </w:t>
      </w:r>
      <w:r>
        <w:t xml:space="preserve">Reach erodes further once</w:t>
      </w:r>
      <w:r>
        <w:t xml:space="preserve"> </w:t>
      </w:r>
      <w:r>
        <w:rPr>
          <w:b/>
        </w:rPr>
        <w:t xml:space="preserve">secondhand/used-equipment</w:t>
      </w:r>
      <w:r>
        <w:t xml:space="preserve"> </w:t>
      </w:r>
      <w:r>
        <w:t xml:space="preserve">channels are counted (below).</w:t>
      </w:r>
    </w:p>
    <w:p>
      <w:pPr>
        <w:pStyle w:val="Heading3"/>
      </w:pPr>
      <w:bookmarkStart w:id="32" w:name="X0f1ec16f9b328fd9dba3625e83075321789375b"/>
      <w:r>
        <w:t xml:space="preserve">2.2 Capability is uneven, and capability + unreachability is rare</w:t>
      </w:r>
      <w:bookmarkEnd w:id="3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Usable 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LinkZill (TruSynth)</w:t>
            </w:r>
          </w:p>
        </w:tc>
        <w:tc>
          <w:p>
            <w:pPr>
              <w:pStyle w:val="Compact"/>
              <w:jc w:val="left"/>
            </w:pPr>
            <w:r>
              <w:t xml:space="preserve">Array (TFT-semiconductor)</w:t>
            </w:r>
          </w:p>
        </w:tc>
        <w:tc>
          <w:p>
            <w:pPr>
              <w:pStyle w:val="Compact"/>
              <w:jc w:val="left"/>
            </w:pPr>
            <w:r>
              <w:t xml:space="preserve">China (outside)</w:t>
            </w:r>
          </w:p>
        </w:tc>
        <w:tc>
          <w:p>
            <w:pPr>
              <w:pStyle w:val="Compact"/>
              <w:jc w:val="left"/>
            </w:pPr>
            <w:r>
              <w:t xml:space="preserve">200 nt (public spec); ≥98.5% coupling</w:t>
            </w:r>
          </w:p>
        </w:tc>
        <w:tc>
          <w:p>
            <w:pPr>
              <w:pStyle w:val="Compact"/>
              <w:jc w:val="left"/>
            </w:pPr>
            <w:r>
              <w:t xml:space="preserve">4,096 / chip (spec)</w:t>
            </w:r>
          </w:p>
        </w:tc>
        <w:tc>
          <w:p>
            <w:pPr>
              <w:pStyle w:val="Compact"/>
              <w:jc w:val="left"/>
            </w:pPr>
            <w:r>
              <w:t xml:space="preserve">The one device combining assembly-relevant length, high throughput, and no US reach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DNA Script (SYNTAX)</w:t>
            </w:r>
          </w:p>
        </w:tc>
        <w:tc>
          <w:p>
            <w:pPr>
              <w:pStyle w:val="Compact"/>
              <w:jc w:val="left"/>
            </w:pPr>
            <w:r>
              <w:t xml:space="preserve">Enzymatic (TdT)</w:t>
            </w:r>
          </w:p>
        </w:tc>
        <w:tc>
          <w:p>
            <w:pPr>
              <w:pStyle w:val="Compact"/>
              <w:jc w:val="left"/>
            </w:pPr>
            <w:r>
              <w:t xml:space="preserve">France (allied)</w:t>
            </w:r>
          </w:p>
        </w:tc>
        <w:tc>
          <w:p>
            <w:pPr>
              <w:pStyle w:val="Compact"/>
              <w:jc w:val="left"/>
            </w:pPr>
            <w:r>
              <w:t xml:space="preserve">80 nt Std / 120 nt Hi-Fi</w:t>
            </w:r>
          </w:p>
        </w:tc>
        <w:tc>
          <w:p>
            <w:pPr>
              <w:pStyle w:val="Compact"/>
              <w:jc w:val="left"/>
            </w:pPr>
            <w:r>
              <w:t xml:space="preserve">96 parallel</w:t>
            </w:r>
          </w:p>
        </w:tc>
        <w:tc>
          <w:p>
            <w:pPr>
              <w:pStyle w:val="Compact"/>
              <w:jc w:val="left"/>
            </w:pPr>
            <w:r>
              <w:t xml:space="preserve">Reagent-licensing chokepoint; ~€250–280K (vendor quote)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Kilobaser (one/one-XT)</w:t>
            </w:r>
          </w:p>
        </w:tc>
        <w:tc>
          <w:p>
            <w:pPr>
              <w:pStyle w:val="Compact"/>
              <w:jc w:val="left"/>
            </w:pPr>
            <w:r>
              <w:t xml:space="preserve">Phosphoramidite column</w:t>
            </w:r>
          </w:p>
        </w:tc>
        <w:tc>
          <w:p>
            <w:pPr>
              <w:pStyle w:val="Compact"/>
              <w:jc w:val="left"/>
            </w:pPr>
            <w:r>
              <w:t xml:space="preserve">Austria (allied)</w:t>
            </w:r>
          </w:p>
        </w:tc>
        <w:tc>
          <w:p>
            <w:pPr>
              <w:pStyle w:val="Compact"/>
              <w:jc w:val="left"/>
            </w:pPr>
            <w:r>
              <w:t xml:space="preserve">~150 nt (cartridge budget)</w:t>
            </w:r>
          </w:p>
        </w:tc>
        <w:tc>
          <w:p>
            <w:pPr>
              <w:pStyle w:val="Compact"/>
              <w:jc w:val="left"/>
            </w:pPr>
            <w:r>
              <w:t xml:space="preserve">1 per run</w:t>
            </w:r>
          </w:p>
        </w:tc>
        <w:tc>
          <w:p>
            <w:pPr>
              <w:pStyle w:val="Compact"/>
              <w:jc w:val="left"/>
            </w:pPr>
            <w:r>
              <w:t xml:space="preserve">Offline/air-gap; proprietary cartridge chokepoint; low throughput</w:t>
            </w:r>
          </w:p>
        </w:tc>
      </w:tr>
    </w:tbl>
    <w:p>
      <w:pPr>
        <w:pStyle w:val="BodyText"/>
      </w:pPr>
      <w:r>
        <w:t xml:space="preserve">Devices reaching 120–150 nt exist in several jurisdictions, but only</w:t>
      </w:r>
      <w:r>
        <w:t xml:space="preserve"> </w:t>
      </w:r>
      <w:r>
        <w:rPr>
          <w:b/>
        </w:rPr>
        <w:t xml:space="preserve">LinkZill</w:t>
      </w:r>
      <w:r>
        <w:t xml:space="preserve"> </w:t>
      </w:r>
      <w:r>
        <w:t xml:space="preserve">is simultaneously capable, high-throughput, and outside US reach.</w:t>
      </w:r>
      <w:r>
        <w:t xml:space="preserve"> </w:t>
      </w:r>
      <w:r>
        <w:rPr>
          <w:b/>
        </w:rPr>
        <w:t xml:space="preserve">Capability is common; the combination of capability with unreachability is rare.</w:t>
      </w:r>
      <w:r>
        <w:t xml:space="preserve"> </w:t>
      </w:r>
      <w:r>
        <w:t xml:space="preserve">Durable control must attach to capability and jurisdiction, not to chemistry class — reinforced by the observation that the same array chemistry spans OpenIDS (DIY, ~30 nt, ~55% full-length) and TruSynth (industrial, 4,096-plex). Capability is a property of the engineering and capital applied to a chemistry, not of the chemistry itself.</w:t>
      </w:r>
    </w:p>
    <w:p>
      <w:pPr>
        <w:pStyle w:val="Heading3"/>
      </w:pPr>
      <w:bookmarkStart w:id="33" w:name="X3ac24dcd80c2fc8b26776d43250ab0ae1897418"/>
      <w:r>
        <w:t xml:space="preserve">2.3 Screening-tool landscape and the opacity finding</w:t>
      </w:r>
      <w:bookmarkEnd w:id="33"/>
    </w:p>
    <w:p>
      <w:pPr>
        <w:pStyle w:val="FirstParagraph"/>
      </w:pPr>
      <w:r>
        <w:t xml:space="preserve">Tools by detection floor (JHU CHS Gene Synthesis Screening Hub):</w:t>
      </w:r>
      <w:r>
        <w:t xml:space="preserve"> </w:t>
      </w:r>
      <w:r>
        <w:rPr>
          <w:b/>
        </w:rPr>
        <w:t xml:space="preserve">30 bp</w:t>
      </w:r>
      <w:r>
        <w:t xml:space="preserve"> </w:t>
      </w:r>
      <w:r>
        <w:t xml:space="preserve">— SecureDNA (free, cryptographic, hardware-integrable), Aclid (commercial);</w:t>
      </w:r>
      <w:r>
        <w:t xml:space="preserve"> </w:t>
      </w:r>
      <w:r>
        <w:rPr>
          <w:b/>
        </w:rPr>
        <w:t xml:space="preserve">50 bp</w:t>
      </w:r>
      <w:r>
        <w:t xml:space="preserve"> </w:t>
      </w:r>
      <w:r>
        <w:t xml:space="preserve">— Battelle UltraSEQ, IBBIS Common Mechanism (free, open-source), RTX BBN FAST-NA, Signature Science SeqScreen-Nano (free);</w:t>
      </w:r>
      <w:r>
        <w:t xml:space="preserve"> </w:t>
      </w:r>
      <w:r>
        <w:rPr>
          <w:b/>
        </w:rPr>
        <w:t xml:space="preserve">general</w:t>
      </w:r>
      <w:r>
        <w:t xml:space="preserve"> </w:t>
      </w:r>
      <w:r>
        <w:t xml:space="preserve">— NCBI BLAST. The 30-vs-50 bp split maps onto the framework/S. 3741 window debate and onto whether short-oligo benchtop output is even screenable.</w:t>
      </w:r>
    </w:p>
    <w:p>
      <w:pPr>
        <w:pStyle w:val="BodyText"/>
      </w:pPr>
      <w:r>
        <w:rPr>
          <w:b/>
        </w:rPr>
        <w:t xml:space="preserve">Opacity finding:</w:t>
      </w:r>
      <w:r>
        <w:t xml:space="preserve"> </w:t>
      </w:r>
      <w:r>
        <w:t xml:space="preserve">across all 34 manufacturers, adopted-screening status could not be verified from public sources. If this holds,</w:t>
      </w:r>
      <w:r>
        <w:t xml:space="preserve"> </w:t>
      </w:r>
      <w:r>
        <w:t xml:space="preserve">“</w:t>
      </w:r>
      <w:r>
        <w:t xml:space="preserve">the benchtop layer is essentially unauditable from outside</w:t>
      </w:r>
      <w:r>
        <w:t xml:space="preserve">”</w:t>
      </w:r>
      <w:r>
        <w:t xml:space="preserve"> </w:t>
      </w:r>
      <w:r>
        <w:t xml:space="preserve">is itself a reportable governance result.</w:t>
      </w:r>
    </w:p>
    <w:p>
      <w:pPr>
        <w:pStyle w:val="Heading3"/>
      </w:pPr>
      <w:bookmarkStart w:id="34" w:name="X625b10a898561810673f4377ff4dc908cc093b0"/>
      <w:r>
        <w:t xml:space="preserve">2.4 Feasibility constraints on device-level control (incl. secondhand leakage)</w:t>
      </w:r>
      <w:bookmarkEnd w:id="34"/>
    </w:p>
    <w:p>
      <w:pPr>
        <w:pStyle w:val="FirstParagraph"/>
      </w:pPr>
      <w:r>
        <w:t xml:space="preserve">The IGSC (formed 2009; members ~80% of commercial capacity) provides voluntary order screening. Right-to-repair legislation (e.g. Oregon SB 1596, 2024) restricts the same manufacturer software-lock mechanism on-device screening relies on. And documented</w:t>
      </w:r>
      <w:r>
        <w:t xml:space="preserve"> </w:t>
      </w:r>
      <w:r>
        <w:rPr>
          <w:b/>
        </w:rPr>
        <w:t xml:space="preserve">resale/export leakage</w:t>
      </w:r>
      <w:r>
        <w:t xml:space="preserve"> </w:t>
      </w:r>
      <w:r>
        <w:t xml:space="preserve">— Codex DNA’s (now Telesis Bio) Q2-2022 Form 10-Q discloses BioXp systems reaching embargoed countries including Russia via distributors/resellers — is a concrete instance of point-of-sale KYC being undermined downstream, and the clearest evidence that</w:t>
      </w:r>
      <w:r>
        <w:t xml:space="preserve"> </w:t>
      </w:r>
      <w:r>
        <w:rPr>
          <w:b/>
        </w:rPr>
        <w:t xml:space="preserve">accessibility outside official manufacturers (secondhand/used) is a real gap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7ff5e3272715f73e3e03aa5a4b36dbe7956b1cf"/>
      <w:r>
        <w:t xml:space="preserve">PART 3: SYNTHESIS SCREENING POLICY LANDSCAPE (2024–2026)</w:t>
      </w:r>
      <w:bookmarkEnd w:id="35"/>
    </w:p>
    <w:p>
      <w:pPr>
        <w:pStyle w:val="FirstParagraph"/>
      </w:pPr>
      <w:r>
        <w:t xml:space="preserve">Two distinct US instruments are frequently conflated. Keeping them separate matters: one is funding-conditional guidance, the other is proposed statute with a different lead agency.</w:t>
      </w:r>
    </w:p>
    <w:p>
      <w:pPr>
        <w:pStyle w:val="Heading3"/>
      </w:pPr>
      <w:bookmarkStart w:id="36" w:name="X90a5e43767dcc6f92b87c9519defbb48b72f7b9"/>
      <w:r>
        <w:t xml:space="preserve">3.1 OSTP Framework for Nucleic Acid Synthesis Screening (April 2024)</w:t>
      </w:r>
      <w:bookmarkEnd w:id="36"/>
    </w:p>
    <w:p>
      <w:pPr>
        <w:pStyle w:val="FirstParagraph"/>
      </w:pPr>
      <w:r>
        <w:t xml:space="preserve">Released 29 April 2024; requires (as a condition of federal life-sciences funding) that synthetic nucleic acids and benchtop devices are procured only from Framework-compliant providers/manufacturers. Built on the 2023 HHS Guidance.</w:t>
      </w:r>
    </w:p>
    <w:p>
      <w:pPr>
        <w:pStyle w:val="BodyText"/>
      </w:pPr>
      <w:r>
        <w:rPr>
          <w:b/>
        </w:rPr>
        <w:t xml:space="preserve">Implementation dates: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26 April 2025 (Stage 1, in effect):</w:t>
      </w:r>
      <w:r>
        <w:t xml:space="preserve"> </w:t>
      </w:r>
      <w:r>
        <w:t xml:space="preserve">screening for sequences ≥200 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13 October 2026 (Stage 2, scheduled — not yet in force):</w:t>
      </w:r>
      <w:r>
        <w:t xml:space="preserve"> </w:t>
      </w:r>
      <w:r>
        <w:t xml:space="preserve">window reduced to 50 nt, plus an expanded functional SOC definition covering sequences that contribute to pathogenicity/toxicity even when not from a listed agent.</w:t>
      </w:r>
    </w:p>
    <w:p>
      <w:pPr>
        <w:pStyle w:val="BodyText"/>
      </w:pPr>
      <w:r>
        <w:rPr>
          <w:i/>
        </w:rPr>
        <w:t xml:space="preserve">Correction:</w:t>
      </w:r>
      <w:r>
        <w:t xml:space="preserve"> </w:t>
      </w:r>
      <w:r>
        <w:t xml:space="preserve">an earlier draft placed the 50-nt window at October 2025 and simultaneously described the framework as paused; it is</w:t>
      </w:r>
      <w:r>
        <w:t xml:space="preserve"> </w:t>
      </w:r>
      <w:r>
        <w:rPr>
          <w:b/>
        </w:rPr>
        <w:t xml:space="preserve">October 2026, and a scheduled (not implemented) milestone</w:t>
      </w:r>
      <w:r>
        <w:t xml:space="preserve">.</w:t>
      </w:r>
    </w:p>
    <w:p>
      <w:pPr>
        <w:pStyle w:val="BodyText"/>
      </w:pPr>
      <w:r>
        <w:rPr>
          <w:b/>
        </w:rPr>
        <w:t xml:space="preserve">Key requirements:</w:t>
      </w:r>
      <w:r>
        <w:t xml:space="preserve"> </w:t>
      </w:r>
      <w:r>
        <w:t xml:space="preserve">screen DNA/RNA ≥200 nt against a Regulated Pathogen Database (US Select Agents, Australia Group, EU dual-use/CCL); six-frame translation to catch codon-optimised evasion; customer identity verification; apply NIST standards for mechanism sufficiency where available.</w:t>
      </w:r>
    </w:p>
    <w:p>
      <w:pPr>
        <w:pStyle w:val="BodyText"/>
      </w:pPr>
      <w:r>
        <w:rPr>
          <w:b/>
        </w:rPr>
        <w:t xml:space="preserve">Policy pause (May 2025):</w:t>
      </w:r>
      <w:r>
        <w:t xml:space="preserve"> </w:t>
      </w:r>
      <w:r>
        <w:t xml:space="preserve">Executive Order 14292 (signed 5 May 2025; 90 FR 19611) directed OSTP to revise or replace the 2024 Framework within 90 days. As of</w:t>
      </w:r>
      <w:r>
        <w:t xml:space="preserve"> </w:t>
      </w:r>
      <w:r>
        <w:rPr>
          <w:b/>
        </w:rPr>
        <w:t xml:space="preserve">October 2026</w:t>
      </w:r>
      <w:r>
        <w:t xml:space="preserve"> </w:t>
      </w:r>
      <w:r>
        <w:t xml:space="preserve">the replacement remains unpublished, so whether the October 2026 milestone survives on schedule depends on it.</w:t>
      </w:r>
    </w:p>
    <w:p>
      <w:pPr>
        <w:pStyle w:val="Heading3"/>
      </w:pPr>
      <w:bookmarkStart w:id="37" w:name="X10e53f3d37cecc22fcad65d2af42882242e91e3"/>
      <w:r>
        <w:t xml:space="preserve">3.2 S. 3741 — Biosecurity Modernization and Innovation Act of 2026 (statutory vehicle)</w:t>
      </w:r>
      <w:bookmarkEnd w:id="37"/>
    </w:p>
    <w:p>
      <w:pPr>
        <w:pStyle w:val="FirstParagraph"/>
      </w:pPr>
      <w:r>
        <w:t xml:space="preserve">Introduced 29 January 2026 (Cotton, Klobuchar); referred to Senate Commerce. Per the bill text, it directs the Secretary of Commerce to require gene-synthesis providers to screen orders and customers; requires federal-fund recipients to buy only from compliant providers; provides exemptions for clearly non-hazardous sequences and technical assistance for ambiguous results; and establishes a biotechnology governance sandbox at NIST.</w:t>
      </w:r>
    </w:p>
    <w:p>
      <w:pPr>
        <w:pStyle w:val="BodyText"/>
      </w:pPr>
      <w:r>
        <w:rPr>
          <w:b/>
        </w:rPr>
        <w:t xml:space="preserve">Distinction:</w:t>
      </w:r>
      <w:r>
        <w:t xml:space="preserve"> </w:t>
      </w:r>
      <w:r>
        <w:t xml:space="preserve">OSTP framework = OSTP/HHS-led, funding-conditional; S. 3741 = Commerce-led, statutory. S. 3741 supplies the mandate mechanism; the OSTP framework supplies the technical spec. Neither alone constitutes the</w:t>
      </w:r>
      <w:r>
        <w:t xml:space="preserve"> </w:t>
      </w:r>
      <w:r>
        <w:t xml:space="preserve">“</w:t>
      </w:r>
      <w:r>
        <w:t xml:space="preserve">mandatory + on-device</w:t>
      </w:r>
      <w:r>
        <w:t xml:space="preserve">”</w:t>
      </w:r>
      <w:r>
        <w:t xml:space="preserve"> </w:t>
      </w:r>
      <w:r>
        <w:t xml:space="preserve">regime this project models as</w:t>
      </w:r>
      <w:r>
        <w:t xml:space="preserve"> </w:t>
      </w:r>
      <w:r>
        <w:rPr>
          <w:b/>
        </w:rPr>
        <w:t xml:space="preserve">R1</w:t>
      </w:r>
      <w:r>
        <w:t xml:space="preserve"> </w:t>
      </w:r>
      <w:r>
        <w:t xml:space="preserve">— a composite projection, doubly conditional on the framework revision being issued and on S. 3741 (or equivalent) being enacted.</w:t>
      </w:r>
    </w:p>
    <w:p>
      <w:pPr>
        <w:pStyle w:val="Heading3"/>
      </w:pPr>
      <w:bookmarkStart w:id="38" w:name="Xb2dbcf0a71f1107870c77153b4d120d55b97379"/>
      <w:r>
        <w:t xml:space="preserve">3.3 IGSC Harmonized Screening Protocol (v3.0, September 2024)</w:t>
      </w:r>
      <w:bookmarkEnd w:id="38"/>
    </w:p>
    <w:p>
      <w:pPr>
        <w:pStyle w:val="FirstParagraph"/>
      </w:pPr>
      <w:r>
        <w:t xml:space="preserve">IGSC members voluntarily screen all dsDNA orders against a Regulated Pathogen Database, including six-frame translation. Scope: 200+ bp against the RPD; customer identity/affiliation checks;</w:t>
      </w:r>
      <w:r>
        <w:t xml:space="preserve"> </w:t>
      </w:r>
      <w:r>
        <w:rPr>
          <w:b/>
        </w:rPr>
        <w:t xml:space="preserve">8-year retention</w:t>
      </w:r>
      <w:r>
        <w:t xml:space="preserve">; members required to transition to the 50-bp threshold to conform with the OSTP framework. Members (Thermo Fisher, IDT, GenScript, Twist, Eurofins, others) represent ~80% of global commercial capacity.</w:t>
      </w:r>
    </w:p>
    <w:p>
      <w:pPr>
        <w:pStyle w:val="Heading3"/>
      </w:pPr>
      <w:bookmarkStart w:id="39" w:name="X66129cbee9a173ef380a0871f4d932b78fcffd2"/>
      <w:r>
        <w:t xml:space="preserve">3.4 Recent Biosecurity Research: AI-Designed Protein Evasion (October 2025)</w:t>
      </w:r>
      <w:bookmarkEnd w:id="39"/>
    </w:p>
    <w:p>
      <w:pPr>
        <w:pStyle w:val="FirstParagraph"/>
      </w:pPr>
      <w:r>
        <w:rPr>
          <w:b/>
        </w:rPr>
        <w:t xml:space="preserve">Wittmann, B.J., et al. (2025).</w:t>
      </w:r>
      <w:r>
        <w:t xml:space="preserve"> </w:t>
      </w:r>
      <w:r>
        <w:t xml:space="preserve">“</w:t>
      </w:r>
      <w:r>
        <w:t xml:space="preserve">Strengthening nucleic acid biosecurity screening against generative protein design tools.</w:t>
      </w:r>
      <w:r>
        <w:t xml:space="preserve">”</w:t>
      </w:r>
      <w:r>
        <w:t xml:space="preserve"> </w:t>
      </w:r>
      <w:r>
        <w:rPr>
          <w:i/>
        </w:rPr>
        <w:t xml:space="preserve">Science</w:t>
      </w:r>
      <w:r>
        <w:t xml:space="preserve">, 390(6768), 82–87. https://doi.org/10.1126/science.adu8578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Design:</w:t>
      </w:r>
      <w:r>
        <w:t xml:space="preserve"> </w:t>
      </w:r>
      <w:r>
        <w:t xml:space="preserve">three open protein-generative models (ProteinMPNN, EvoDiff-MSA, EvoDiff-Seq) produced 76,080 synthetic homologs across mutational loads for 72 wild-type proteins of concern (mostly toxins). Templates index-anonymised (info-hazard); no wet-lab synthesis; function-retention estimated in silico (TM-Score, ΔpLDDT).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Findings:</w:t>
      </w:r>
      <w:r>
        <w:t xml:space="preserve"> </w:t>
      </w:r>
      <w:r>
        <w:t xml:space="preserve">best-match screening is vulnerable to generative design (AI homologs retain predicted function at low identity, evading similarity search). Coordinated</w:t>
      </w:r>
      <w:r>
        <w:t xml:space="preserve"> </w:t>
      </w:r>
      <w:r>
        <w:t xml:space="preserve">“</w:t>
      </w:r>
      <w:r>
        <w:t xml:space="preserve">zero-day</w:t>
      </w:r>
      <w:r>
        <w:t xml:space="preserve">”</w:t>
      </w:r>
      <w:r>
        <w:t xml:space="preserve"> </w:t>
      </w:r>
      <w:r>
        <w:t xml:space="preserve">disclosure via IGSC / OSTP / NIST / DHS + four BSS developers; three of four patched.</w:t>
      </w:r>
      <w:r>
        <w:t xml:space="preserve"> </w:t>
      </w:r>
      <w:r>
        <w:rPr>
          <w:b/>
        </w:rPr>
        <w:t xml:space="preserve">After patching, ~1%/3%/3%/7% of the more-probably-functional variants still escaped — average ~3% unflagged (~97% flag rate)</w:t>
      </w:r>
      <w:r>
        <w:t xml:space="preserve">, concentrated in a few contested templates. A shuffle/fragment experiment reduced detection further, though standard mol-bio can rebuild the gene (cf. §1.6).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Implication:</w:t>
      </w:r>
      <w:r>
        <w:t xml:space="preserve"> </w:t>
      </w:r>
      <w:r>
        <w:t xml:space="preserve">similarity-based screening erodes as AI orders grow sequence-diverse — exactly the gap the October 2026</w:t>
      </w:r>
      <w:r>
        <w:t xml:space="preserve"> </w:t>
      </w:r>
      <w:r>
        <w:rPr>
          <w:b/>
        </w:rPr>
        <w:t xml:space="preserve">functional-SOC</w:t>
      </w:r>
      <w:r>
        <w:t xml:space="preserve"> </w:t>
      </w:r>
      <w:r>
        <w:t xml:space="preserve">provision targets (shift from</w:t>
      </w:r>
      <w:r>
        <w:t xml:space="preserve"> </w:t>
      </w:r>
      <w:r>
        <w:t xml:space="preserve">“</w:t>
      </w:r>
      <w:r>
        <w:t xml:space="preserve">best match to a listed agent</w:t>
      </w:r>
      <w:r>
        <w:t xml:space="preserve">”</w:t>
      </w:r>
      <w:r>
        <w:t xml:space="preserve"> </w:t>
      </w:r>
      <w:r>
        <w:t xml:space="preserve">toward</w:t>
      </w:r>
      <w:r>
        <w:t xml:space="preserve"> </w:t>
      </w:r>
      <w:r>
        <w:t xml:space="preserve">“</w:t>
      </w:r>
      <w:r>
        <w:t xml:space="preserve">demonstrated pathogenic/toxic function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</w:rPr>
        <w:t xml:space="preserve">Counterpoint (authors’ own):</w:t>
      </w:r>
      <w:r>
        <w:t xml:space="preserve"> </w:t>
      </w:r>
      <w:r>
        <w:t xml:space="preserve">Ikonomova et al. (2025, bioRxiv 2025.05.15.654077) found early-2024 generative models cannot yet reliably rewrite a protein while retaining function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evading screening — a near-term reassurance expected to weaken.</w:t>
      </w:r>
    </w:p>
    <w:p>
      <w:pPr>
        <w:pStyle w:val="BodyText"/>
      </w:pPr>
      <w:r>
        <w:rPr>
          <w:b/>
        </w:rPr>
        <w:t xml:space="preserve">Baseline screening validated:</w:t>
      </w:r>
      <w:r>
        <w:t xml:space="preserve"> </w:t>
      </w:r>
      <w:r>
        <w:t xml:space="preserve">Laird et al. (2025,</w:t>
      </w:r>
      <w:r>
        <w:t xml:space="preserve"> </w:t>
      </w:r>
      <w:r>
        <w:rPr>
          <w:i/>
        </w:rPr>
        <w:t xml:space="preserve">Applied Biosafety</w:t>
      </w:r>
      <w:r>
        <w:t xml:space="preserve">, doi:10.1177/15356760251401228) — NIST inter-tool analysis,</w:t>
      </w:r>
      <w:r>
        <w:t xml:space="preserve"> </w:t>
      </w:r>
      <w:r>
        <w:rPr>
          <w:b/>
        </w:rPr>
        <w:t xml:space="preserve">&gt;95% sensitivity, &gt;97% accuracy</w:t>
      </w:r>
      <w:r>
        <w:t xml:space="preserve"> </w:t>
      </w:r>
      <w:r>
        <w:t xml:space="preserve">across six tools; disagreements traced to differing SOC definitions. Supersedes any</w:t>
      </w:r>
      <w:r>
        <w:t xml:space="preserve"> </w:t>
      </w:r>
      <w:r>
        <w:t xml:space="preserve">“</w:t>
      </w:r>
      <w:r>
        <w:t xml:space="preserve">NIST validation pending</w:t>
      </w:r>
      <w:r>
        <w:t xml:space="preserve">”</w:t>
      </w:r>
      <w:r>
        <w:t xml:space="preserve"> </w:t>
      </w:r>
      <w:r>
        <w:t xml:space="preserve">framing: the open problem is definitional/functional, not baseline accuracy.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9122c8ccd77face4c86ceacd34ec872d3372311"/>
      <w:r>
        <w:t xml:space="preserve">PART 4: SUPPLY CHAIN &amp; ACCESSIBILITY ANALYSIS</w:t>
      </w:r>
      <w:bookmarkEnd w:id="40"/>
    </w:p>
    <w:p>
      <w:pPr>
        <w:pStyle w:val="Heading3"/>
      </w:pPr>
      <w:bookmarkStart w:id="41" w:name="dna-synthesis-market-growth"/>
      <w:r>
        <w:t xml:space="preserve">4.1 DNA Synthesis Market Growth</w:t>
      </w:r>
      <w:bookmarkEnd w:id="41"/>
    </w:p>
    <w:p>
      <w:pPr>
        <w:pStyle w:val="FirstParagraph"/>
      </w:pPr>
      <w:r>
        <w:t xml:space="preserve">Market-size estimates vary widely (incompatible scope definitions) — from ~USD 2.5B to ~USD 5.9B (2025 base), CAGRs ~14–19%. Precise sizing is not load-bearing; no single number is presented as definitive. The two robust, on-thesis signals:</w:t>
      </w:r>
      <w:r>
        <w:t xml:space="preserve"> </w:t>
      </w:r>
      <w:r>
        <w:rPr>
          <w:b/>
        </w:rPr>
        <w:t xml:space="preserve">(1)</w:t>
      </w:r>
      <w:r>
        <w:t xml:space="preserve"> </w:t>
      </w:r>
      <w:r>
        <w:t xml:space="preserve">the market is growing double-digit (decentralisation/demand rising);</w:t>
      </w:r>
      <w:r>
        <w:t xml:space="preserve"> </w:t>
      </w:r>
      <w:r>
        <w:rPr>
          <w:b/>
        </w:rPr>
        <w:t xml:space="preserve">(2)</w:t>
      </w:r>
      <w:r>
        <w:t xml:space="preserve"> </w:t>
      </w:r>
      <w:r>
        <w:t xml:space="preserve">provider revenue is concentrated among a handful of firms (Thermo Fisher, IDT, GenScript, Twist, Eurofins), which — with IGSC members at ~80% capacity — is precisely what makes provider-level screening a viable chokepoint.</w:t>
      </w:r>
    </w:p>
    <w:p>
      <w:pPr>
        <w:pStyle w:val="Heading3"/>
      </w:pPr>
      <w:bookmarkStart w:id="42" w:name="phosphoramidite-supply-chain"/>
      <w:r>
        <w:t xml:space="preserve">4.2 Phosphoramidite Supply Chain</w:t>
      </w:r>
      <w:bookmarkEnd w:id="42"/>
    </w:p>
    <w:p>
      <w:pPr>
        <w:pStyle w:val="FirstParagraph"/>
      </w:pPr>
      <w:r>
        <w:t xml:space="preserve">Global phosphoramidite market ~USD 1.1–1.2B (2024–25) → ~USD 1.7–2.3B by 2031–33 (~6–8% CAGR); North America ~39% share; APAC fastest-growing. All four standard amidites are continuously multi-sourced (Glen Research, ChemGenes, Merck/Sigma, LGC, Thermo, etc.) and</w:t>
      </w:r>
      <w:r>
        <w:t xml:space="preserve"> </w:t>
      </w:r>
      <w:r>
        <w:rPr>
          <w:b/>
        </w:rPr>
        <w:t xml:space="preserve">not restricted</w:t>
      </w:r>
      <w:r>
        <w:t xml:space="preserve"> </w:t>
      </w:r>
      <w:r>
        <w:t xml:space="preserve">for research institutions.</w:t>
      </w:r>
    </w:p>
    <w:p>
      <w:pPr>
        <w:pStyle w:val="BodyText"/>
      </w:pPr>
      <w:r>
        <w:rPr>
          <w:b/>
        </w:rPr>
        <w:t xml:space="preserve">Reagent-stability chokepoint — being engineered away:</w:t>
      </w:r>
      <w:r>
        <w:t xml:space="preserve"> </w:t>
      </w:r>
      <w:r>
        <w:t xml:space="preserve">phosphoramidites have poor bench stability (store −20 °C under inert gas; degrade by acrylonitrile-elimination/water pathways; Sandahl et al. 2021). But</w:t>
      </w:r>
      <w:r>
        <w:t xml:space="preserve"> </w:t>
      </w:r>
      <w:r>
        <w:rPr>
          <w:b/>
        </w:rPr>
        <w:t xml:space="preserve">on-demand flow synthesis of phosphoramidites from stable parent alcohols</w:t>
      </w:r>
      <w:r>
        <w:t xml:space="preserve"> </w:t>
      </w:r>
      <w:r>
        <w:t xml:space="preserve">has been demonstrated (&lt;6 min, &gt;98% conversion, no purification, fed directly to automated synthesis) — Sandahl et al., 2021,</w:t>
      </w:r>
      <w:r>
        <w:t xml:space="preserve"> </w:t>
      </w:r>
      <w:r>
        <w:rPr>
          <w:i/>
        </w:rPr>
        <w:t xml:space="preserve">Nature Communications</w:t>
      </w:r>
      <w:r>
        <w:t xml:space="preserve"> </w:t>
      </w:r>
      <w:r>
        <w:t xml:space="preserve">12:2760 (DOI 10.1038/s41467-021-22945-z).</w:t>
      </w:r>
      <w:r>
        <w:t xml:space="preserve"> </w:t>
      </w:r>
      <w:r>
        <w:rPr>
          <w:i/>
        </w:rPr>
        <w:t xml:space="preserve">Maturity caveat:</w:t>
      </w:r>
      <w:r>
        <w:t xml:space="preserve"> </w:t>
      </w:r>
      <w:r>
        <w:t xml:space="preserve">a 2021 proof-of-concept (HPLC pump + packed-bed reactor), 10 nucleoside + 4 non-nucleoside amidites, used to build a 51-mer; an inline-concentration step is flagged unsolved; end-to-end yield 35.2% vs 41.8% conventional. Framing:</w:t>
      </w:r>
      <w:r>
        <w:t xml:space="preserve"> </w:t>
      </w:r>
      <w:r>
        <w:t xml:space="preserve">“</w:t>
      </w:r>
      <w:r>
        <w:t xml:space="preserve">an alternative that removes the storage constraint,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 faster route.</w:t>
      </w:r>
      <w:r>
        <w:t xml:space="preserve">”</w:t>
      </w:r>
    </w:p>
    <w:p>
      <w:pPr>
        <w:pStyle w:val="BodyText"/>
      </w:pPr>
      <w:r>
        <w:rPr>
          <w:b/>
        </w:rPr>
        <w:t xml:space="preserve">Governance implication:</w:t>
      </w:r>
      <w:r>
        <w:t xml:space="preserve"> </w:t>
      </w:r>
      <w:r>
        <w:t xml:space="preserve">core reagents are commodity, multi-sourced, and substitutable, and even the residual stability barrier is being engineered away.</w:t>
      </w:r>
      <w:r>
        <w:t xml:space="preserve"> </w:t>
      </w:r>
      <w:r>
        <w:rPr>
          <w:b/>
        </w:rPr>
        <w:t xml:space="preserve">Reagent restriction is not a durable standalone control point</w:t>
      </w:r>
      <w:r>
        <w:t xml:space="preserve"> </w:t>
      </w:r>
      <w:r>
        <w:t xml:space="preserve">— a structural conclusion, independent of the market-size figures.</w:t>
      </w:r>
    </w:p>
    <w:p>
      <w:pPr>
        <w:pStyle w:val="Heading3"/>
      </w:pPr>
      <w:bookmarkStart w:id="43" w:name="X6091daf7a17a7693fcc7127683338e20e60efbb"/>
      <w:r>
        <w:t xml:space="preserve">4.3 Solvent Sourcing: Acetonitrile vs. Propylene Carbonate</w:t>
      </w:r>
      <w:bookmarkEnd w:id="43"/>
    </w:p>
    <w:p>
      <w:pPr>
        <w:pStyle w:val="FirstParagraph"/>
      </w:pPr>
      <w:r>
        <w:t xml:space="preserve">Acetonitrile is hazardous, flammable, shipping/disposal-constrained, and shortage-prone (2008–09). Propylene carbonate (the OpenIDS substitution) gives 94–98% inkjet coupling, is a GRAS food additive, effectively unregulated, and commodity-sourced.</w:t>
      </w:r>
      <w:r>
        <w:t xml:space="preserve"> </w:t>
      </w:r>
      <w:r>
        <w:rPr>
          <w:b/>
        </w:rPr>
        <w:t xml:space="preserve">Substituting PC for acetonitrile removes a genuine supply/handling friction point</w:t>
      </w:r>
      <w:r>
        <w:t xml:space="preserve"> </w:t>
      </w:r>
      <w:r>
        <w:t xml:space="preserve">— one of the clearest documented cases of a supply-chain constraint being engineered</w:t>
      </w:r>
      <w:r>
        <w:t xml:space="preserve"> </w:t>
      </w:r>
      <w:r>
        <w:rPr>
          <w:i/>
        </w:rPr>
        <w:t xml:space="preserve">around</w:t>
      </w:r>
      <w:r>
        <w:t xml:space="preserve"> </w:t>
      </w:r>
      <w:r>
        <w:t xml:space="preserve">rather than defeated, and (with §4.2) a direct argument for attaching durable control to the device and to attribution, not to reagent/solvent supply.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f69eee3968d94647bd0cc59ea3b9b122811ff7a"/>
      <w:r>
        <w:t xml:space="preserve">PART 5: DIY BIOTECH COMMUNITY — and the null finding</w:t>
      </w:r>
      <w:bookmarkEnd w:id="44"/>
    </w:p>
    <w:p>
      <w:pPr>
        <w:pStyle w:val="Heading3"/>
      </w:pPr>
      <w:bookmarkStart w:id="45" w:name="community-landscape"/>
      <w:r>
        <w:t xml:space="preserve">5.1 Community landscape</w:t>
      </w:r>
      <w:bookmarkEnd w:id="45"/>
    </w:p>
    <w:p>
      <w:pPr>
        <w:pStyle w:val="FirstParagraph"/>
      </w:pPr>
      <w:r>
        <w:t xml:space="preserve">Community biology labs (BioCurious, Genspace, BUGSS, Counter Culture Labs, etc.) operate across North America, Europe, and Asia/South America/Oceania; DIYbio.org listed ~90 labs as of 2022 (counts vary). Genspace (Brooklyn, 2009/2010) was the first US community biolab; most labs meet</w:t>
      </w:r>
      <w:r>
        <w:t xml:space="preserve"> </w:t>
      </w:r>
      <w:r>
        <w:rPr>
          <w:b/>
        </w:rPr>
        <w:t xml:space="preserve">BSL-1</w:t>
      </w:r>
      <w:r>
        <w:t xml:space="preserve">. DIYbio (Cowell &amp; Bobe, 2008) drafted a 2011 code of ethics and runs the</w:t>
      </w:r>
      <w:r>
        <w:t xml:space="preserve"> </w:t>
      </w:r>
      <w:r>
        <w:t xml:space="preserve">“</w:t>
      </w:r>
      <w:r>
        <w:t xml:space="preserve">Ask a Biosafety Expert</w:t>
      </w:r>
      <w:r>
        <w:t xml:space="preserve">”</w:t>
      </w:r>
      <w:r>
        <w:t xml:space="preserve"> </w:t>
      </w:r>
      <w:r>
        <w:t xml:space="preserve">service.</w:t>
      </w:r>
    </w:p>
    <w:p>
      <w:pPr>
        <w:pStyle w:val="Heading3"/>
      </w:pPr>
      <w:bookmarkStart w:id="46" w:name="X6c599ed7e2ca8889f99795e8524d6428d031db8"/>
      <w:r>
        <w:t xml:space="preserve">5.2 The null finding (a governance result in itself)</w:t>
      </w:r>
      <w:bookmarkEnd w:id="46"/>
    </w:p>
    <w:p>
      <w:pPr>
        <w:pStyle w:val="FirstParagraph"/>
      </w:pPr>
      <w:r>
        <w:t xml:space="preserve">A 2026 survey found</w:t>
      </w:r>
      <w:r>
        <w:t xml:space="preserve"> </w:t>
      </w:r>
      <w:r>
        <w:rPr>
          <w:b/>
        </w:rPr>
        <w:t xml:space="preserve">no verified, reproducible community/garage oligonucleotide synthesizer.</w:t>
      </w:r>
      <w:r>
        <w:t xml:space="preserve"> </w:t>
      </w:r>
      <w:r>
        <w:t xml:space="preserve">The ODIN, Genspace, Counter Culture Labs, DIYbio, Hackaday, and the diyhpl wiki all</w:t>
      </w:r>
      <w:r>
        <w:t xml:space="preserve"> </w:t>
      </w:r>
      <w:r>
        <w:rPr>
          <w:b/>
        </w:rPr>
        <w:t xml:space="preserve">buy</w:t>
      </w:r>
      <w:r>
        <w:t xml:space="preserve"> </w:t>
      </w:r>
      <w:r>
        <w:t xml:space="preserve">synthetic DNA — none synthesise de novo (the ODIN sells gene-editing kits, not a synthesizer; the diyhpl</w:t>
      </w:r>
      <w:r>
        <w:t xml:space="preserve"> </w:t>
      </w:r>
      <w:r>
        <w:t xml:space="preserve">“</w:t>
      </w:r>
      <w:r>
        <w:t xml:space="preserve">DNA synthesis</w:t>
      </w:r>
      <w:r>
        <w:t xml:space="preserve">”</w:t>
      </w:r>
      <w:r>
        <w:t xml:space="preserve"> </w:t>
      </w:r>
      <w:r>
        <w:t xml:space="preserve">page is lecture notes, not a build). Typical documented projects are BSL-1 hobbyist/civic (bioluminescent bacteria, DNA barcoding, food-authenticity, OpenPCR).</w:t>
      </w:r>
      <w:r>
        <w:t xml:space="preserve"> </w:t>
      </w:r>
      <w:r>
        <w:rPr>
          <w:b/>
        </w:rPr>
        <w:t xml:space="preserve">The genuinely reproducible DIY frontier is therefore the academic open-hardware set (OpenIDS/OpenIDS2, MAS 2.0) plus DropSynth-style assembly — not a homebrew scene</w:t>
      </w:r>
      <w:r>
        <w:t xml:space="preserve">, and NTI (2023) locates the biosecurity concern in</w:t>
      </w:r>
      <w:r>
        <w:t xml:space="preserve"> </w:t>
      </w:r>
      <w:r>
        <w:rPr>
          <w:i/>
        </w:rPr>
        <w:t xml:space="preserve">commercial benchtop</w:t>
      </w:r>
      <w:r>
        <w:t xml:space="preserve"> </w:t>
      </w:r>
      <w:r>
        <w:t xml:space="preserve">devices, not a garage capability. This null result directly answers</w:t>
      </w:r>
      <w:r>
        <w:t xml:space="preserve"> </w:t>
      </w:r>
      <w:r>
        <w:t xml:space="preserve">“</w:t>
      </w:r>
      <w:r>
        <w:t xml:space="preserve">are these the only DIY routes?</w:t>
      </w:r>
      <w:r>
        <w:t xml:space="preserve">”</w:t>
      </w:r>
      <w:r>
        <w:t xml:space="preserve"> </w:t>
      </w:r>
      <w:r>
        <w:t xml:space="preserve">— effectively yes.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part-6-cost-trends-technology-readiness"/>
      <w:r>
        <w:t xml:space="preserve">PART 6: COST TRENDS &amp; TECHNOLOGY READINESS</w:t>
      </w:r>
      <w:bookmarkEnd w:id="47"/>
    </w:p>
    <w:p>
      <w:pPr>
        <w:pStyle w:val="Heading3"/>
      </w:pPr>
      <w:bookmarkStart w:id="48" w:name="dna-synthesis-cost-per-base"/>
      <w:r>
        <w:t xml:space="preserve">6.1 DNA synthesis cost per base</w:t>
      </w:r>
      <w:bookmarkEnd w:id="48"/>
    </w:p>
    <w:p>
      <w:pPr>
        <w:pStyle w:val="FirstParagraph"/>
      </w:pPr>
      <w:r>
        <w:t xml:space="preserve">Long-run synthesis/sequencing cost data are tracked by Carlson &amp; Field at synthesis.cc. DIY OpenIDS: system ~$19,900 (5-printhead); reagents ~$100–500 build, ~$1–5/sequence at scale.</w:t>
      </w:r>
      <w:r>
        <w:t xml:space="preserve"> </w:t>
      </w:r>
      <w:r>
        <w:rPr>
          <w:b/>
        </w:rPr>
        <w:t xml:space="preserve">Caveat:</w:t>
      </w:r>
      <w:r>
        <w:t xml:space="preserve"> </w:t>
      </w:r>
      <w:r>
        <w:t xml:space="preserve">cost parity with commercial providers (~1,000+ sequences) is parity on cost only — OpenIDS produces short (~15–30 nt), moderate-fidelity oligos,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commercial-grade long oligos, so it is not substitutable on capability.</w:t>
      </w:r>
    </w:p>
    <w:p>
      <w:pPr>
        <w:pStyle w:val="Heading3"/>
      </w:pPr>
      <w:bookmarkStart w:id="49" w:name="technology-readiness-corrected"/>
      <w:r>
        <w:t xml:space="preserve">6.2 Technology readiness (corrected)</w:t>
      </w:r>
      <w:bookmarkEnd w:id="49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Expertise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Usable length @ 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Oversight (R0)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OpenIDS (inkjet)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~$20K (v1) / ~$4K (v2)</w:t>
            </w:r>
          </w:p>
        </w:tc>
        <w:tc>
          <w:p>
            <w:pPr>
              <w:pStyle w:val="Compact"/>
              <w:jc w:val="left"/>
            </w:pPr>
            <w:r>
              <w:t xml:space="preserve">Medium (6/10)</w:t>
            </w:r>
          </w:p>
        </w:tc>
        <w:tc>
          <w:p>
            <w:pPr>
              <w:pStyle w:val="Compact"/>
              <w:jc w:val="left"/>
            </w:pPr>
            <w:r>
              <w:t xml:space="preserve">~15–30 nt</w:t>
            </w:r>
          </w:p>
        </w:tc>
        <w:tc>
          <w:p>
            <w:pPr>
              <w:pStyle w:val="Compact"/>
              <w:jc w:val="left"/>
            </w:pPr>
            <w:r>
              <w:t xml:space="preserve">No oversight reaches DIY builders</w:t>
            </w:r>
          </w:p>
        </w:tc>
        <w:tc>
          <w:p>
            <w:pPr>
              <w:pStyle w:val="Compact"/>
              <w:jc w:val="left"/>
            </w:pPr>
            <w:r>
              <w:t xml:space="preserve">Demonstrated; short-oligo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 2.0 (photolith.)</w:t>
            </w:r>
          </w:p>
        </w:tc>
        <w:tc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~tens of $K</w:t>
            </w:r>
          </w:p>
        </w:tc>
        <w:tc>
          <w:p>
            <w:pPr>
              <w:pStyle w:val="Compact"/>
              <w:jc w:val="left"/>
            </w:pPr>
            <w:r>
              <w:t xml:space="preserve">High (optics+chem)</w:t>
            </w:r>
          </w:p>
        </w:tc>
        <w:tc>
          <w:p>
            <w:pPr>
              <w:pStyle w:val="Compact"/>
              <w:jc w:val="left"/>
            </w:pPr>
            <w:r>
              <w:t xml:space="preserve">library-grade</w:t>
            </w:r>
          </w:p>
        </w:tc>
        <w:tc>
          <w:p>
            <w:pPr>
              <w:pStyle w:val="Compact"/>
              <w:jc w:val="left"/>
            </w:pPr>
            <w:r>
              <w:t xml:space="preserve">No oversight</w:t>
            </w:r>
          </w:p>
        </w:tc>
        <w:tc>
          <w:p>
            <w:pPr>
              <w:pStyle w:val="Compact"/>
              <w:jc w:val="left"/>
            </w:pPr>
            <w:r>
              <w:t xml:space="preserve">Open build; origin-lab demonstrated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DropSynth (assembly)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~$3.4K bead pool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gene-length via assembly</w:t>
            </w:r>
          </w:p>
        </w:tc>
        <w:tc>
          <w:p>
            <w:pPr>
              <w:pStyle w:val="Compact"/>
              <w:jc w:val="left"/>
            </w:pPr>
            <w:r>
              <w:t xml:space="preserve">No oversight (but oligo pool is screenable)</w:t>
            </w:r>
          </w:p>
        </w:tc>
        <w:tc>
          <w:p>
            <w:pPr>
              <w:pStyle w:val="Compact"/>
              <w:jc w:val="left"/>
            </w:pPr>
            <w:r>
              <w:t xml:space="preserve">Reproduced;</w:t>
            </w:r>
            <w:r>
              <w:t xml:space="preserve"> </w:t>
            </w:r>
            <w:r>
              <w:rPr>
                <w:b/>
              </w:rPr>
              <w:t xml:space="preserve">no fab/cleanroom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Electrochemical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~$10K (est)</w:t>
            </w:r>
          </w:p>
        </w:tc>
        <w:tc>
          <w:p>
            <w:pPr>
              <w:pStyle w:val="Compact"/>
              <w:jc w:val="left"/>
            </w:pPr>
            <w:r>
              <w:t xml:space="preserve">Medium (7/10)</w:t>
            </w:r>
          </w:p>
        </w:tc>
        <w:tc>
          <w:p>
            <w:pPr>
              <w:pStyle w:val="Compact"/>
              <w:jc w:val="left"/>
            </w:pPr>
            <w:r>
              <w:t xml:space="preserve">Not established</w:t>
            </w:r>
          </w:p>
        </w:tc>
        <w:tc>
          <w:p>
            <w:pPr>
              <w:pStyle w:val="Compact"/>
              <w:jc w:val="left"/>
            </w:pPr>
            <w:r>
              <w:t xml:space="preserve">No oversight</w:t>
            </w:r>
          </w:p>
        </w:tc>
        <w:tc>
          <w:p>
            <w:pPr>
              <w:pStyle w:val="Compact"/>
              <w:jc w:val="left"/>
            </w:pPr>
            <w:r>
              <w:t xml:space="preserve">Pre-commercial;</w:t>
            </w:r>
            <w:r>
              <w:t xml:space="preserve"> </w:t>
            </w:r>
            <w:r>
              <w:rPr>
                <w:b/>
              </w:rPr>
              <w:t xml:space="preserve">no DIY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 — DIY (Church)</w:t>
            </w:r>
          </w:p>
        </w:tc>
        <w:tc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 (biochem)</w:t>
            </w:r>
          </w:p>
        </w:tc>
        <w:tc>
          <w:p>
            <w:pPr>
              <w:pStyle w:val="Compact"/>
              <w:jc w:val="left"/>
            </w:pPr>
            <w:r>
              <w:t xml:space="preserve">data-storage only</w:t>
            </w:r>
          </w:p>
        </w:tc>
        <w:tc>
          <w:p>
            <w:pPr>
              <w:pStyle w:val="Compact"/>
              <w:jc w:val="left"/>
            </w:pPr>
            <w:r>
              <w:t xml:space="preserve">No oversight</w:t>
            </w:r>
          </w:p>
        </w:tc>
        <w:tc>
          <w:p>
            <w:pPr>
              <w:pStyle w:val="Compact"/>
              <w:jc w:val="left"/>
            </w:pPr>
            <w:r>
              <w:t xml:space="preserve">Off-the-shelf but not defined-sequence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Enzymatic — SYNTAX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~€250–280K</w:t>
            </w:r>
          </w:p>
        </w:tc>
        <w:tc>
          <w:p>
            <w:pPr>
              <w:pStyle w:val="Compact"/>
              <w:jc w:val="left"/>
            </w:pPr>
            <w:r>
              <w:t xml:space="preserve">Medium (5/10)</w:t>
            </w:r>
          </w:p>
        </w:tc>
        <w:tc>
          <w:p>
            <w:pPr>
              <w:pStyle w:val="Compact"/>
              <w:jc w:val="left"/>
            </w:pPr>
            <w:r>
              <w:t xml:space="preserve">80–120 nt</w:t>
            </w:r>
          </w:p>
        </w:tc>
        <w:tc>
          <w:p>
            <w:pPr>
              <w:pStyle w:val="Compact"/>
              <w:jc w:val="left"/>
            </w:pPr>
            <w:r>
              <w:t xml:space="preserve">Manufacturer/reagent control point</w:t>
            </w:r>
          </w:p>
        </w:tc>
        <w:tc>
          <w:p>
            <w:pPr>
              <w:pStyle w:val="Compact"/>
              <w:jc w:val="left"/>
            </w:pPr>
            <w:r>
              <w:t xml:space="preserve">Commercial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benchtop (column)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~$15–150K (best ~$60K)</w:t>
            </w:r>
          </w:p>
        </w:tc>
        <w:tc>
          <w:p>
            <w:pPr>
              <w:pStyle w:val="Compact"/>
              <w:jc w:val="left"/>
            </w:pPr>
            <w:r>
              <w:t xml:space="preserve">Low (2/10)</w:t>
            </w:r>
          </w:p>
        </w:tc>
        <w:tc>
          <w:p>
            <w:pPr>
              <w:pStyle w:val="Compact"/>
              <w:jc w:val="left"/>
            </w:pPr>
            <w:r>
              <w:t xml:space="preserve">~100–150+ nt</w:t>
            </w:r>
          </w:p>
        </w:tc>
        <w:tc>
          <w:p>
            <w:pPr>
              <w:pStyle w:val="Compact"/>
              <w:jc w:val="left"/>
            </w:pPr>
            <w:r>
              <w:t xml:space="preserve">Uneven; largely unscreened</w:t>
            </w:r>
          </w:p>
        </w:tc>
        <w:tc>
          <w:p>
            <w:pPr>
              <w:pStyle w:val="Compact"/>
              <w:jc w:val="left"/>
            </w:pPr>
            <w:r>
              <w:t xml:space="preserve">Mature; active resale market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Commercial provider (service)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Low (1–2/10)</w:t>
            </w:r>
          </w:p>
        </w:tc>
        <w:tc>
          <w:p>
            <w:pPr>
              <w:pStyle w:val="Compact"/>
              <w:jc w:val="left"/>
            </w:pPr>
            <w:r>
              <w:t xml:space="preserve">Genes/genomes</w:t>
            </w:r>
          </w:p>
        </w:tc>
        <w:tc>
          <w:p>
            <w:pPr>
              <w:pStyle w:val="Compact"/>
              <w:jc w:val="left"/>
            </w:pPr>
            <w:r>
              <w:t xml:space="preserve">Screened channel (IGSC ~80%)</w:t>
            </w:r>
          </w:p>
        </w:tc>
        <w:tc>
          <w:p>
            <w:pPr>
              <w:pStyle w:val="Compact"/>
              <w:jc w:val="left"/>
            </w:pPr>
            <w:r>
              <w:t xml:space="preserve">Mature, screened baseline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4111d87bd0e2a19611950c0bfcb799a91c40f59"/>
      <w:r>
        <w:t xml:space="preserve">PART 7: CRITICAL GAPS &amp; RESEARCH OPPORTUNITIES</w:t>
      </w:r>
      <w:bookmarkEnd w:id="50"/>
    </w:p>
    <w:p>
      <w:pPr>
        <w:pStyle w:val="FirstParagraph"/>
      </w:pPr>
      <w:r>
        <w:rPr>
          <w:b/>
        </w:rPr>
        <w:t xml:space="preserve">Accessibility mapping</w:t>
      </w:r>
      <w:r>
        <w:t xml:space="preserve"> </w:t>
      </w:r>
      <w:r>
        <w:t xml:space="preserve">— regime-conditional TRI scoring</w:t>
      </w:r>
      <w:r>
        <w:t xml:space="preserve"> </w:t>
      </w:r>
      <w:r>
        <w:rPr>
          <w:b/>
        </w:rPr>
        <w:t xml:space="preserve">usable length at high fidelity</w:t>
      </w:r>
      <w:r>
        <w:t xml:space="preserve"> </w:t>
      </w:r>
      <w:r>
        <w:t xml:space="preserve">(not advertised maximum) and throughput; cost-trajectory characterisation with explicit TRL gating (no point forecasts for TRL-3); supply-chain vulnerability across all reagents; detectability signatures for DIY-synthesized sequences;</w:t>
      </w:r>
      <w:r>
        <w:t xml:space="preserve"> </w:t>
      </w:r>
      <w:r>
        <w:rPr>
          <w:b/>
        </w:rPr>
        <w:t xml:space="preserve">and the residual-gap question: under mandatory commercial + benchtop screening, which DIY capability remains reachable?</w:t>
      </w:r>
      <w:r>
        <w:t xml:space="preserve"> </w:t>
      </w:r>
      <w:r>
        <w:t xml:space="preserve">(Answer, from Part 1/5: a narrow, expertise-gated set of open-hardware builds + assembly-from-a-screened-pool — real but small.)</w:t>
      </w:r>
    </w:p>
    <w:p>
      <w:pPr>
        <w:pStyle w:val="BodyText"/>
      </w:pPr>
      <w:r>
        <w:rPr>
          <w:b/>
        </w:rPr>
        <w:t xml:space="preserve">Bottleneck analysis</w:t>
      </w:r>
      <w:r>
        <w:t xml:space="preserve"> </w:t>
      </w:r>
      <w:r>
        <w:t xml:space="preserve">— error-accumulation models for DIY vs commercial oligos; assembly feasibility from short/moderate-fidelity DIY oligos (partly addressed in §1.6 — assembly from 16–30-mers is demonstrated; the binding constraint is fidelity + the downstream error-correction/verification/host pipeline, per Cui 2024, Lubock 2017, NTI 2023).</w:t>
      </w:r>
      <w:r>
        <w:t xml:space="preserve"> </w:t>
      </w:r>
      <w:r>
        <w:rPr>
          <w:b/>
        </w:rPr>
        <w:t xml:space="preserve">Open:</w:t>
      </w:r>
      <w:r>
        <w:t xml:space="preserve"> </w:t>
      </w:r>
      <w:r>
        <w:t xml:space="preserve">quantify the correct-assembly yield achievable specifically from OpenIDS-grade (~56% full-length) oligos.</w:t>
      </w:r>
    </w:p>
    <w:p>
      <w:pPr>
        <w:pStyle w:val="BodyText"/>
      </w:pPr>
      <w:r>
        <w:rPr>
          <w:b/>
        </w:rPr>
        <w:t xml:space="preserve">Policy &amp; governance</w:t>
      </w:r>
      <w:r>
        <w:t xml:space="preserve"> </w:t>
      </w:r>
      <w:r>
        <w:t xml:space="preserve">— control-lever effectiveness under R0 vs R1; international harmonisation beyond IGSC/OSTP (sharpened by the Part 2 finding that a US mandate reaches only 8 of 34 manufacturers, and by the secondhand-leakage evidence); benchtop-manufacturer customer-screening; and detection/forensic synthesis-route attribution (Chapter 4).</w:t>
      </w:r>
    </w:p>
    <w:p>
      <w:pPr>
        <w:pStyle w:val="BodyText"/>
      </w:pPr>
      <w:r>
        <w:rPr>
          <w:b/>
        </w:rPr>
        <w:t xml:space="preserve">Emerging threats</w:t>
      </w:r>
      <w:r>
        <w:t xml:space="preserve"> </w:t>
      </w:r>
      <w:r>
        <w:t xml:space="preserve">— similarity-based screening is vulnerable to AI-designed variants (~3% still escaped after patching, Wittmann 2025); function-based screening remains the unsolved problem; the scheduled October 2026 functional-SOC provision is the policy response.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ummary-research-landscape-as-of-2026"/>
      <w:r>
        <w:t xml:space="preserve">SUMMARY: RESEARCH LANDSCAPE AS OF 2026</w:t>
      </w:r>
      <w:bookmarkEnd w:id="51"/>
    </w:p>
    <w:p>
      <w:pPr>
        <w:pStyle w:val="FirstParagraph"/>
      </w:pPr>
      <w:r>
        <w:rPr>
          <w:b/>
        </w:rPr>
        <w:t xml:space="preserve">The DIY frontier is narrow, academic, and skill-gated.</w:t>
      </w:r>
      <w:r>
        <w:t xml:space="preserve"> </w:t>
      </w:r>
      <w:r>
        <w:t xml:space="preserve">OpenIDS/OpenIDS2 (inkjet, ~$4–20K) and MAS 2.0 (photolithographic) are the only reproducible open</w:t>
      </w:r>
      <w:r>
        <w:t xml:space="preserve"> </w:t>
      </w:r>
      <w:r>
        <w:rPr>
          <w:i/>
        </w:rPr>
        <w:t xml:space="preserve">de novo</w:t>
      </w:r>
      <w:r>
        <w:t xml:space="preserve"> </w:t>
      </w:r>
      <w:r>
        <w:t xml:space="preserve">synthesizers, and both are lab-grade, expertise-heavy, and currently short-oligo/library-grade — not assembly-ready for defined genes. DropSynth (+OMEGA) is cheap DIY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but inherits the screening perimeter through its commercial oligo pool. Electrochemical has no DIY build; enzymatic is DIY only in a data-storage-only form; and there is no working garage synthesizer at all.</w:t>
      </w:r>
      <w:r>
        <w:t xml:space="preserve"> </w:t>
      </w:r>
      <w:r>
        <w:rPr>
          <w:b/>
        </w:rPr>
        <w:t xml:space="preserve">The correct inference is not that screening becomes irrelevant, but that a single point-of-sale control is insufficient: screening must be made mandatory, pushed on-device, extended internationally, and backstopped by forensic attribution for the devices and the residual DIY routes it cannot reach.</w:t>
      </w:r>
      <w:r>
        <w:t xml:space="preserve"> </w:t>
      </w:r>
      <w:r>
        <w:t xml:space="preserve">The problem shifts from</w:t>
      </w:r>
      <w:r>
        <w:t xml:space="preserve"> </w:t>
      </w:r>
      <w:r>
        <w:t xml:space="preserve">“</w:t>
      </w:r>
      <w:r>
        <w:t xml:space="preserve">prevent DIY synthesis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govern a proliferating-device world with a layered, mandatory, regime-conditional architecture</w:t>
      </w:r>
      <w:r>
        <w:t xml:space="preserve">”</w:t>
      </w:r>
      <w:r>
        <w:t xml:space="preserve"> </w:t>
      </w:r>
      <w:r>
        <w:t xml:space="preserve">— which the October 2026 revisions and S. 3741 begin to build, and which this project sets out to stress-test.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2026-07-23T10:12:36Z</dcterms:created>
  <dcterms:modified xsi:type="dcterms:W3CDTF">2026-07-23T10:12:36Z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