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DNA Synthesis Screening Under Device Proliferation</w:t>
      </w:r>
    </w:p>
    <w:p>
      <w:r>
        <w:rPr>
          <w:b/>
          <w:sz w:val="23"/>
        </w:rPr>
        <w:t>Can open synthesis routes produce and assemble sequences of concern? A measured characterisation of seven routes</w:t>
      </w:r>
    </w:p>
    <w:p>
      <w:r>
        <w:rPr>
          <w:b/>
        </w:rPr>
        <w:t>The problem.</w:t>
      </w:r>
      <w:r>
        <w:t xml:space="preserve"> Open protocols and open-hardware designs for DNA synthesis are publicly available, and a builder who follows them places no order with a provider. Nothing about that synthesis passes through the channel where sequence screening happens. The concern is therefore concrete: a DIY or benchtop route is a potential path to producing oligonucleotides and assembling them into sequences of concern (SOCs) outside the screening perimeter entirely.</w:t>
      </w:r>
    </w:p>
    <w:p>
      <w:r>
        <w:t>Whether that concern is warranted turns on facts that can be measured rather than assumed: how long and how accurate the oligos actually are, what a build costs and what expertise and laboratory infrastructure it demands, and whether the resulting product can be attributed after the fact.</w:t>
      </w:r>
    </w:p>
    <w:p>
      <w:r>
        <w:rPr>
          <w:b/>
        </w:rPr>
        <w:t>Why now.</w:t>
      </w:r>
      <w:r>
        <w:t xml:space="preserve"> The OSTP Framework for Nucleic Acid Synthesis Screening (April 2024) took first effect on 26 April 2025, requiring recipients of federal life-sciences funding to procure synthetic nucleic acids, and benchtop synthesis devices, only from providers and manufacturers that screen, initially at a ≥200 nt window (OSTP, 2024). A second stage scheduled for 13 October 2026 would tighten that window to 50 nt and add a functional "sequence of concern" (SOC) definition. Executive Order 14292 (May 2025) then directed OSTP to revise or replace the Framework, and that revision is unpublished (Executive Order 14292, 2025). The IGSC protocol operates voluntarily and there is no on-device mandate (IGSC, 2024).</w:t>
      </w:r>
    </w:p>
    <w:p>
      <w:r>
        <w:rPr>
          <w:b/>
        </w:rPr>
        <w:t>Two regimes, and the residual gap.</w:t>
      </w:r>
      <w:r>
        <w:t xml:space="preserve"> R0 is the status quo as of October 2026: Framework revision pending, IGSC protocol voluntary, no on-device mandate. R1 is the projected regime with mandatory provider and on-device benchtop screening at a 50-nt window with functional detection. The analytically interesting object is not whether screening works, but the residual DIY gap, the synthesis capability that remains outside the perimeter once commercial providers and benchtop manufacturers are screened. Every finding below is scored under both regimes and weighted toward that gap.</w:t>
      </w:r>
    </w:p>
    <w:p>
      <w:r>
        <w:rPr>
          <w:b/>
          <w:sz w:val="23"/>
        </w:rPr>
        <w:t>Summary table — synthesis approaches at a glance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t>Approach</w:t>
            </w:r>
          </w:p>
        </w:tc>
        <w:tc>
          <w:tcPr>
            <w:tcW w:type="dxa" w:w="1080"/>
          </w:tcPr>
          <w:p>
            <w:r>
              <w:rPr>
                <w:b/>
                <w:sz w:val="17"/>
              </w:rPr>
              <w:t>TRL</w:t>
            </w:r>
          </w:p>
        </w:tc>
        <w:tc>
          <w:tcPr>
            <w:tcW w:type="dxa" w:w="1080"/>
          </w:tcPr>
          <w:p>
            <w:r>
              <w:rPr>
                <w:b/>
                <w:sz w:val="17"/>
              </w:rPr>
              <w:t>DIY or buy</w:t>
            </w:r>
          </w:p>
        </w:tc>
        <w:tc>
          <w:tcPr>
            <w:tcW w:type="dxa" w:w="1080"/>
          </w:tcPr>
          <w:p>
            <w:r>
              <w:rPr>
                <w:b/>
                <w:sz w:val="17"/>
              </w:rPr>
              <w:t>Capital</w:t>
            </w:r>
          </w:p>
        </w:tc>
        <w:tc>
          <w:tcPr>
            <w:tcW w:type="dxa" w:w="1080"/>
          </w:tcPr>
          <w:p>
            <w:r>
              <w:rPr>
                <w:b/>
                <w:sz w:val="17"/>
              </w:rPr>
              <w:t>Usable length @ fidelity</w:t>
            </w:r>
          </w:p>
        </w:tc>
        <w:tc>
          <w:tcPr>
            <w:tcW w:type="dxa" w:w="1080"/>
          </w:tcPr>
          <w:p>
            <w:r>
              <w:rPr>
                <w:b/>
                <w:sz w:val="17"/>
              </w:rPr>
              <w:t>Per-unit cost</w:t>
            </w:r>
          </w:p>
        </w:tc>
        <w:tc>
          <w:tcPr>
            <w:tcW w:type="dxa" w:w="1080"/>
          </w:tcPr>
          <w:p>
            <w:r>
              <w:rPr>
                <w:b/>
                <w:sz w:val="17"/>
              </w:rPr>
              <w:t>Evasion R0 → R1</w:t>
            </w:r>
          </w:p>
        </w:tc>
        <w:tc>
          <w:tcPr>
            <w:tcW w:type="dxa" w:w="1080"/>
          </w:tcPr>
          <w:p>
            <w:r>
              <w:rPr>
                <w:b/>
                <w:sz w:val="17"/>
              </w:rPr>
              <w:t>Forensic signature &amp; governance note</w:t>
            </w:r>
          </w:p>
        </w:tc>
      </w:tr>
      <w:tr>
        <w:tc>
          <w:tcPr>
            <w:tcW w:type="dxa" w:w="1080"/>
          </w:tcPr>
          <w:p>
            <w:r>
              <w:rPr>
                <w:sz w:val="17"/>
              </w:rPr>
              <w:t>OpenIDS / OpenIDS2 (inkjet)</w:t>
            </w:r>
          </w:p>
        </w:tc>
        <w:tc>
          <w:tcPr>
            <w:tcW w:type="dxa" w:w="1080"/>
          </w:tcPr>
          <w:p>
            <w:r>
              <w:rPr>
                <w:sz w:val="17"/>
              </w:rPr>
              <w:t>5</w:t>
            </w:r>
          </w:p>
        </w:tc>
        <w:tc>
          <w:tcPr>
            <w:tcW w:type="dxa" w:w="1080"/>
          </w:tcPr>
          <w:p>
            <w:r>
              <w:rPr>
                <w:sz w:val="17"/>
              </w:rPr>
              <w:t>DIY (build)</w:t>
            </w:r>
          </w:p>
        </w:tc>
        <w:tc>
          <w:tcPr>
            <w:tcW w:type="dxa" w:w="1080"/>
          </w:tcPr>
          <w:p>
            <w:r>
              <w:rPr>
                <w:sz w:val="17"/>
              </w:rPr>
              <w:t>~$19.9K (v1); cheaper 2025 v2</w:t>
            </w:r>
          </w:p>
        </w:tc>
        <w:tc>
          <w:tcPr>
            <w:tcW w:type="dxa" w:w="1080"/>
          </w:tcPr>
          <w:p>
            <w:r>
              <w:rPr>
                <w:sz w:val="17"/>
              </w:rPr>
              <w:t>~15–30 nt</w:t>
            </w:r>
          </w:p>
        </w:tc>
        <w:tc>
          <w:tcPr>
            <w:tcW w:type="dxa" w:w="1080"/>
          </w:tcPr>
          <w:p>
            <w:r>
              <w:rPr>
                <w:sz w:val="17"/>
              </w:rPr>
              <w:t>~$1–5 / seq</w:t>
            </w:r>
          </w:p>
        </w:tc>
        <w:tc>
          <w:tcPr>
            <w:tcW w:type="dxa" w:w="1080"/>
          </w:tcPr>
          <w:p>
            <w:r>
              <w:rPr>
                <w:sz w:val="17"/>
              </w:rPr>
              <w:t>Medium → Low</w:t>
            </w:r>
          </w:p>
        </w:tc>
        <w:tc>
          <w:tcPr>
            <w:tcW w:type="dxa" w:w="1080"/>
          </w:tcPr>
          <w:p>
            <w:r>
              <w:rPr>
                <w:sz w:val="17"/>
              </w:rPr>
              <w:t>Column phosphoramidite; capping omitted → predicted suppressed G→A + elevated n−1. The core residual DIY route; not gene-assembly-ready</w:t>
            </w:r>
          </w:p>
        </w:tc>
      </w:tr>
      <w:tr>
        <w:tc>
          <w:tcPr>
            <w:tcW w:type="dxa" w:w="1080"/>
          </w:tcPr>
          <w:p>
            <w:r>
              <w:rPr>
                <w:sz w:val="17"/>
              </w:rPr>
              <w:t>MAS 2.0 / AMS (photolithographic)</w:t>
            </w:r>
          </w:p>
        </w:tc>
        <w:tc>
          <w:tcPr>
            <w:tcW w:type="dxa" w:w="1080"/>
          </w:tcPr>
          <w:p>
            <w:r>
              <w:rPr>
                <w:sz w:val="17"/>
              </w:rPr>
              <w:t>5</w:t>
            </w:r>
          </w:p>
        </w:tc>
        <w:tc>
          <w:tcPr>
            <w:tcW w:type="dxa" w:w="1080"/>
          </w:tcPr>
          <w:p>
            <w:r>
              <w:rPr>
                <w:sz w:val="17"/>
              </w:rPr>
              <w:t>DIY (build)</w:t>
            </w:r>
          </w:p>
        </w:tc>
        <w:tc>
          <w:tcPr>
            <w:tcW w:type="dxa" w:w="1080"/>
          </w:tcPr>
          <w:p>
            <w:r>
              <w:rPr>
                <w:sz w:val="17"/>
              </w:rPr>
              <w:t>~€150–170K instrument (~€200–300K loaded; optics ~€150K), sourced, developer interview 2026</w:t>
            </w:r>
          </w:p>
        </w:tc>
        <w:tc>
          <w:tcPr>
            <w:tcW w:type="dxa" w:w="1080"/>
          </w:tcPr>
          <w:p>
            <w:r>
              <w:rPr>
                <w:sz w:val="17"/>
              </w:rPr>
              <w:t>library-grade (error-prone)</w:t>
            </w:r>
          </w:p>
        </w:tc>
        <w:tc>
          <w:tcPr>
            <w:tcW w:type="dxa" w:w="1080"/>
          </w:tcPr>
          <w:p>
            <w:r>
              <w:rPr>
                <w:sz w:val="17"/>
              </w:rPr>
              <w:t>—</w:t>
            </w:r>
          </w:p>
        </w:tc>
        <w:tc>
          <w:tcPr>
            <w:tcW w:type="dxa" w:w="1080"/>
          </w:tcPr>
          <w:p>
            <w:r>
              <w:rPr>
                <w:sz w:val="17"/>
              </w:rPr>
              <w:t>Medium → Low</w:t>
            </w:r>
          </w:p>
        </w:tc>
        <w:tc>
          <w:tcPr>
            <w:tcW w:type="dxa" w:w="1080"/>
          </w:tcPr>
          <w:p>
            <w:r>
              <w:rPr>
                <w:sz w:val="17"/>
              </w:rPr>
              <w:t>Photolithographic G→T + array spatial gradient (Lietard class). Open build; optics + photolabile-amidite barrier</w:t>
            </w:r>
          </w:p>
        </w:tc>
      </w:tr>
      <w:tr>
        <w:tc>
          <w:tcPr>
            <w:tcW w:type="dxa" w:w="1080"/>
          </w:tcPr>
          <w:p>
            <w:r>
              <w:rPr>
                <w:sz w:val="17"/>
              </w:rPr>
              <w:t>DropSynth (emulsion assembly)</w:t>
            </w:r>
          </w:p>
        </w:tc>
        <w:tc>
          <w:tcPr>
            <w:tcW w:type="dxa" w:w="1080"/>
          </w:tcPr>
          <w:p>
            <w:r>
              <w:rPr>
                <w:sz w:val="17"/>
              </w:rPr>
              <w:t>4</w:t>
            </w:r>
          </w:p>
        </w:tc>
        <w:tc>
          <w:tcPr>
            <w:tcW w:type="dxa" w:w="1080"/>
          </w:tcPr>
          <w:p>
            <w:r>
              <w:rPr>
                <w:sz w:val="17"/>
              </w:rPr>
              <w:t>DIY assembly</w:t>
            </w:r>
          </w:p>
        </w:tc>
        <w:tc>
          <w:tcPr>
            <w:tcW w:type="dxa" w:w="1080"/>
          </w:tcPr>
          <w:p>
            <w:r>
              <w:rPr>
                <w:sz w:val="17"/>
              </w:rPr>
              <w:t>~$3.4K bead pool (~200 rxns)</w:t>
            </w:r>
          </w:p>
        </w:tc>
        <w:tc>
          <w:tcPr>
            <w:tcW w:type="dxa" w:w="1080"/>
          </w:tcPr>
          <w:p>
            <w:r>
              <w:rPr>
                <w:sz w:val="17"/>
              </w:rPr>
              <w:t>~1–3 kb assembled; ~25% perfect</w:t>
            </w:r>
          </w:p>
        </w:tc>
        <w:tc>
          <w:tcPr>
            <w:tcW w:type="dxa" w:w="1080"/>
          </w:tcPr>
          <w:p>
            <w:r>
              <w:rPr>
                <w:sz w:val="17"/>
              </w:rPr>
              <w:t>~$1–2 / gene</w:t>
            </w:r>
          </w:p>
        </w:tc>
        <w:tc>
          <w:tcPr>
            <w:tcW w:type="dxa" w:w="1080"/>
          </w:tcPr>
          <w:p>
            <w:r>
              <w:rPr>
                <w:sz w:val="17"/>
              </w:rPr>
              <w:t>Medium → Low</w:t>
            </w:r>
          </w:p>
        </w:tc>
        <w:tc>
          <w:tcPr>
            <w:tcW w:type="dxa" w:w="1080"/>
          </w:tcPr>
          <w:p>
            <w:r>
              <w:rPr>
                <w:sz w:val="17"/>
              </w:rPr>
              <w:t>Inherits its input oligos' signature; consumes a screenable commercial oligo pool</w:t>
            </w:r>
          </w:p>
        </w:tc>
      </w:tr>
      <w:tr>
        <w:tc>
          <w:tcPr>
            <w:tcW w:type="dxa" w:w="1080"/>
          </w:tcPr>
          <w:p>
            <w:r>
              <w:rPr>
                <w:sz w:val="17"/>
              </w:rPr>
              <w:t>Electrochemical</w:t>
            </w:r>
          </w:p>
        </w:tc>
        <w:tc>
          <w:tcPr>
            <w:tcW w:type="dxa" w:w="1080"/>
          </w:tcPr>
          <w:p>
            <w:r>
              <w:rPr>
                <w:sz w:val="17"/>
              </w:rPr>
              <w:t>3</w:t>
            </w:r>
          </w:p>
        </w:tc>
        <w:tc>
          <w:tcPr>
            <w:tcW w:type="dxa" w:w="1080"/>
          </w:tcPr>
          <w:p>
            <w:r>
              <w:rPr>
                <w:sz w:val="17"/>
              </w:rPr>
              <w:t>No DIY build</w:t>
            </w:r>
          </w:p>
        </w:tc>
        <w:tc>
          <w:tcPr>
            <w:tcW w:type="dxa" w:w="1080"/>
          </w:tcPr>
          <w:p>
            <w:r>
              <w:rPr>
                <w:sz w:val="17"/>
              </w:rPr>
              <w:t>undefined (~$10–12K est)</w:t>
            </w:r>
          </w:p>
        </w:tc>
        <w:tc>
          <w:tcPr>
            <w:tcW w:type="dxa" w:w="1080"/>
          </w:tcPr>
          <w:p>
            <w:r>
              <w:rPr>
                <w:sz w:val="17"/>
              </w:rPr>
              <w:t>13–17 nt (demo only)</w:t>
            </w:r>
          </w:p>
        </w:tc>
        <w:tc>
          <w:tcPr>
            <w:tcW w:type="dxa" w:w="1080"/>
          </w:tcPr>
          <w:p>
            <w:r>
              <w:rPr>
                <w:sz w:val="17"/>
              </w:rPr>
              <w:t>~$1–5 est</w:t>
            </w:r>
          </w:p>
        </w:tc>
        <w:tc>
          <w:tcPr>
            <w:tcW w:type="dxa" w:w="1080"/>
          </w:tcPr>
          <w:p>
            <w:r>
              <w:rPr>
                <w:sz w:val="17"/>
              </w:rPr>
              <w:t>High* → Medium*</w:t>
            </w:r>
          </w:p>
        </w:tc>
        <w:tc>
          <w:tcPr>
            <w:tcW w:type="dxa" w:w="1080"/>
          </w:tcPr>
          <w:p>
            <w:r>
              <w:rPr>
                <w:sz w:val="17"/>
              </w:rPr>
              <w:t>High deletion + 5′ gradient (18.8× deposition, measured). Conditional-future; no independent build exists</w:t>
            </w:r>
          </w:p>
        </w:tc>
      </w:tr>
      <w:tr>
        <w:tc>
          <w:tcPr>
            <w:tcW w:type="dxa" w:w="1080"/>
          </w:tcPr>
          <w:p>
            <w:r>
              <w:rPr>
                <w:sz w:val="17"/>
              </w:rPr>
              <w:t>Enzymatic — SYNTAX (benchtop)</w:t>
            </w:r>
          </w:p>
        </w:tc>
        <w:tc>
          <w:tcPr>
            <w:tcW w:type="dxa" w:w="1080"/>
          </w:tcPr>
          <w:p>
            <w:r>
              <w:rPr>
                <w:sz w:val="17"/>
              </w:rPr>
              <w:t>5</w:t>
            </w:r>
          </w:p>
        </w:tc>
        <w:tc>
          <w:tcPr>
            <w:tcW w:type="dxa" w:w="1080"/>
          </w:tcPr>
          <w:p>
            <w:r>
              <w:rPr>
                <w:sz w:val="17"/>
              </w:rPr>
              <w:t>Buy (not DIY)</w:t>
            </w:r>
          </w:p>
        </w:tc>
        <w:tc>
          <w:tcPr>
            <w:tcW w:type="dxa" w:w="1080"/>
          </w:tcPr>
          <w:p>
            <w:r>
              <w:rPr>
                <w:sz w:val="17"/>
              </w:rPr>
              <w:t>~$270–303K</w:t>
            </w:r>
          </w:p>
        </w:tc>
        <w:tc>
          <w:tcPr>
            <w:tcW w:type="dxa" w:w="1080"/>
          </w:tcPr>
          <w:p>
            <w:r>
              <w:rPr>
                <w:sz w:val="17"/>
              </w:rPr>
              <w:t>80–120 nt</w:t>
            </w:r>
          </w:p>
        </w:tc>
        <w:tc>
          <w:tcPr>
            <w:tcW w:type="dxa" w:w="1080"/>
          </w:tcPr>
          <w:p>
            <w:r>
              <w:rPr>
                <w:sz w:val="17"/>
              </w:rPr>
              <w:t>€0.11–0.26 / base</w:t>
            </w:r>
          </w:p>
        </w:tc>
        <w:tc>
          <w:tcPr>
            <w:tcW w:type="dxa" w:w="1080"/>
          </w:tcPr>
          <w:p>
            <w:r>
              <w:rPr>
                <w:sz w:val="17"/>
              </w:rPr>
              <w:t>Medium → Low</w:t>
            </w:r>
          </w:p>
        </w:tc>
        <w:tc>
          <w:tcPr>
            <w:tcW w:type="dxa" w:w="1080"/>
          </w:tcPr>
          <w:p>
            <w:r>
              <w:rPr>
                <w:sz w:val="17"/>
              </w:rPr>
              <w:t>Deletion/insertion-dominated, sub &lt;0.1% (aqueous). Closed proprietary cartridge = chokepoint</w:t>
            </w:r>
          </w:p>
        </w:tc>
      </w:tr>
      <w:tr>
        <w:tc>
          <w:tcPr>
            <w:tcW w:type="dxa" w:w="1080"/>
          </w:tcPr>
          <w:p>
            <w:r>
              <w:rPr>
                <w:sz w:val="17"/>
              </w:rPr>
              <w:t>Enzymatic — Church (DIY route)</w:t>
            </w:r>
          </w:p>
        </w:tc>
        <w:tc>
          <w:tcPr>
            <w:tcW w:type="dxa" w:w="1080"/>
          </w:tcPr>
          <w:p>
            <w:r>
              <w:rPr>
                <w:sz w:val="17"/>
              </w:rPr>
              <w:t>~3</w:t>
            </w:r>
          </w:p>
        </w:tc>
        <w:tc>
          <w:tcPr>
            <w:tcW w:type="dxa" w:w="1080"/>
          </w:tcPr>
          <w:p>
            <w:r>
              <w:rPr>
                <w:sz w:val="17"/>
              </w:rPr>
              <w:t>DIY (off-the-shelf)</w:t>
            </w:r>
          </w:p>
        </w:tc>
        <w:tc>
          <w:tcPr>
            <w:tcW w:type="dxa" w:w="1080"/>
          </w:tcPr>
          <w:p>
            <w:r>
              <w:rPr>
                <w:sz w:val="17"/>
              </w:rPr>
              <w:t>low</w:t>
            </w:r>
          </w:p>
        </w:tc>
        <w:tc>
          <w:tcPr>
            <w:tcW w:type="dxa" w:w="1080"/>
          </w:tcPr>
          <w:p>
            <w:r>
              <w:rPr>
                <w:sz w:val="17"/>
              </w:rPr>
              <w:t>data-storage only (not defined-sequence)</w:t>
            </w:r>
          </w:p>
        </w:tc>
        <w:tc>
          <w:tcPr>
            <w:tcW w:type="dxa" w:w="1080"/>
          </w:tcPr>
          <w:p>
            <w:r>
              <w:rPr>
                <w:sz w:val="17"/>
              </w:rPr>
              <w:t>—</w:t>
            </w:r>
          </w:p>
        </w:tc>
        <w:tc>
          <w:tcPr>
            <w:tcW w:type="dxa" w:w="1080"/>
          </w:tcPr>
          <w:p>
            <w:r>
              <w:rPr>
                <w:sz w:val="17"/>
              </w:rPr>
              <w:t>—</w:t>
            </w:r>
          </w:p>
        </w:tc>
        <w:tc>
          <w:tcPr>
            <w:tcW w:type="dxa" w:w="1080"/>
          </w:tcPr>
          <w:p>
            <w:r>
              <w:rPr>
                <w:sz w:val="17"/>
              </w:rPr>
              <w:t>Off-the-shelf TdT/dNTPs/apyrase, but not gene-capable</w:t>
            </w:r>
          </w:p>
        </w:tc>
      </w:tr>
      <w:tr>
        <w:tc>
          <w:tcPr>
            <w:tcW w:type="dxa" w:w="1080"/>
          </w:tcPr>
          <w:p>
            <w:r>
              <w:rPr>
                <w:sz w:val="17"/>
              </w:rPr>
              <w:t>Commercial benchtop (column)</w:t>
            </w:r>
          </w:p>
        </w:tc>
        <w:tc>
          <w:tcPr>
            <w:tcW w:type="dxa" w:w="1080"/>
          </w:tcPr>
          <w:p>
            <w:r>
              <w:rPr>
                <w:sz w:val="17"/>
              </w:rPr>
              <w:t>9</w:t>
            </w:r>
          </w:p>
        </w:tc>
        <w:tc>
          <w:tcPr>
            <w:tcW w:type="dxa" w:w="1080"/>
          </w:tcPr>
          <w:p>
            <w:r>
              <w:rPr>
                <w:sz w:val="17"/>
              </w:rPr>
              <w:t>Buy</w:t>
            </w:r>
          </w:p>
        </w:tc>
        <w:tc>
          <w:tcPr>
            <w:tcW w:type="dxa" w:w="1080"/>
          </w:tcPr>
          <w:p>
            <w:r>
              <w:rPr>
                <w:sz w:val="17"/>
              </w:rPr>
              <w:t>~$60K (~$15–150K; used ~$15–30K)</w:t>
            </w:r>
          </w:p>
        </w:tc>
        <w:tc>
          <w:tcPr>
            <w:tcW w:type="dxa" w:w="1080"/>
          </w:tcPr>
          <w:p>
            <w:r>
              <w:rPr>
                <w:sz w:val="17"/>
              </w:rPr>
              <w:t>~100–150+ nt</w:t>
            </w:r>
          </w:p>
        </w:tc>
        <w:tc>
          <w:tcPr>
            <w:tcW w:type="dxa" w:w="1080"/>
          </w:tcPr>
          <w:p>
            <w:r>
              <w:rPr>
                <w:sz w:val="17"/>
              </w:rPr>
              <w:t>~$0.30 / bp</w:t>
            </w:r>
          </w:p>
        </w:tc>
        <w:tc>
          <w:tcPr>
            <w:tcW w:type="dxa" w:w="1080"/>
          </w:tcPr>
          <w:p>
            <w:r>
              <w:rPr>
                <w:sz w:val="17"/>
              </w:rPr>
              <w:t>Medium → Low</w:t>
            </w:r>
          </w:p>
        </w:tc>
        <w:tc>
          <w:tcPr>
            <w:tcW w:type="dxa" w:w="1080"/>
          </w:tcPr>
          <w:p>
            <w:r>
              <w:rPr>
                <w:sz w:val="17"/>
              </w:rPr>
              <w:t>Standard capped column (G→A). Mature baseline; active resale/legacy market</w:t>
            </w:r>
          </w:p>
        </w:tc>
      </w:tr>
      <w:tr>
        <w:tc>
          <w:tcPr>
            <w:tcW w:type="dxa" w:w="1080"/>
          </w:tcPr>
          <w:p>
            <w:r>
              <w:rPr>
                <w:sz w:val="17"/>
              </w:rPr>
              <w:t>Commercial provider (mail-order)</w:t>
            </w:r>
          </w:p>
        </w:tc>
        <w:tc>
          <w:tcPr>
            <w:tcW w:type="dxa" w:w="1080"/>
          </w:tcPr>
          <w:p>
            <w:r>
              <w:rPr>
                <w:sz w:val="17"/>
              </w:rPr>
              <w:t>9</w:t>
            </w:r>
          </w:p>
        </w:tc>
        <w:tc>
          <w:tcPr>
            <w:tcW w:type="dxa" w:w="1080"/>
          </w:tcPr>
          <w:p>
            <w:r>
              <w:rPr>
                <w:sz w:val="17"/>
              </w:rPr>
              <w:t>Buy (service)</w:t>
            </w:r>
          </w:p>
        </w:tc>
        <w:tc>
          <w:tcPr>
            <w:tcW w:type="dxa" w:w="1080"/>
          </w:tcPr>
          <w:p>
            <w:r>
              <w:rPr>
                <w:sz w:val="17"/>
              </w:rPr>
              <w:t>none</w:t>
            </w:r>
          </w:p>
        </w:tc>
        <w:tc>
          <w:tcPr>
            <w:tcW w:type="dxa" w:w="1080"/>
          </w:tcPr>
          <w:p>
            <w:r>
              <w:rPr>
                <w:sz w:val="17"/>
              </w:rPr>
              <w:t>genes/genomes (benchmark)</w:t>
            </w:r>
          </w:p>
        </w:tc>
        <w:tc>
          <w:tcPr>
            <w:tcW w:type="dxa" w:w="1080"/>
          </w:tcPr>
          <w:p>
            <w:r>
              <w:rPr>
                <w:sz w:val="17"/>
              </w:rPr>
              <w:t>$0.07–0.10 / bp</w:t>
            </w:r>
          </w:p>
        </w:tc>
        <w:tc>
          <w:tcPr>
            <w:tcW w:type="dxa" w:w="1080"/>
          </w:tcPr>
          <w:p>
            <w:r>
              <w:rPr>
                <w:sz w:val="17"/>
              </w:rPr>
              <w:t>Medium → Low</w:t>
            </w:r>
          </w:p>
        </w:tc>
        <w:tc>
          <w:tcPr>
            <w:tcW w:type="dxa" w:w="1080"/>
          </w:tcPr>
          <w:p>
            <w:r>
              <w:rPr>
                <w:sz w:val="17"/>
              </w:rPr>
              <w:t>The screened channel (IGSC ~80% capacity; SecureDNA), the R0/R1 control point</w:t>
            </w:r>
          </w:p>
        </w:tc>
      </w:tr>
    </w:tbl>
    <w:p>
      <w:r>
        <w:t>*Evasion is scored as the R0→R1 change (higher = more able to evade). Electrochemical/DropSynth values are conditional-future (TRL 3–4). Costs and lengths are the corrected values used across Chapters 1–4.*</w:t>
      </w:r>
    </w:p>
    <w:p>
      <w:r>
        <w:rPr>
          <w:b/>
          <w:sz w:val="23"/>
        </w:rPr>
        <w:t>The reproducible open synthesizers produce short, low-fidelity oligonucleotides</w:t>
      </w:r>
    </w:p>
    <w:p>
      <w:r>
        <w:t>Two open synthesizers are reproducible, and both are academic instruments with limited output. OpenIDS, an open-source inkjet system costing approximately $19,900, produces usable oligonucleotides of roughly 15 to 30 nucleotides (Kim, Kim &amp; Bang, 2024). At 98% per-step coupling efficiency a 30-mer is full-length only about 55% of the time, and the second-generation build measured approximately 56% full-length for a 15-mer (Kim, Kim &amp; Bang, 2025).</w:t>
      </w:r>
    </w:p>
    <w:p>
      <w:r>
        <w:t>MAS 2.0, the open photolithographic platform (Somoza et al., 2024), proved on investigation to be considerably more expensive than earlier estimates suggested. A 2026 interview with its developer put the instrument at €150,000 to €170,000, rising to between €200,000 and €300,000 for a complete working installation, with the optics alone accounting for around €150,000 (Helices Biological Photolithography, 2026). Optical alignment is the practical barrier to building one, no independent build exists outside the originating laboratory, and the output is library-grade, meaning it is usable in aggregate but not accurate at the level of individual strands.</w:t>
      </w:r>
    </w:p>
    <w:p>
      <w:r>
        <w:t>None of the remaining routes alters this picture. Electrochemical synthesis rests on a single data-storage proof-of-concept at technology readiness level 3, with no independent build and no commercial instance anywhere in the manufacturer landscape (Xu et al., 2021). Enzymatic synthesis is available in DIY form only for data storage, where it produces stochastic homopolymers (Lee et al., 2019); the defined-sequence route depends on an engineered enzyme and bespoke nucleotides that are proprietary and take years to develop (Palluk et al., 2018). DropSynth does offer inexpensive gene assembly at around $3,400 for the bead pool, but it consumes a commercial microarray oligonucleotide pool and therefore inherits the screening perimeter through its own input (Sidore et al., 2020; Plesa et al., 2018). A 2026 survey identified no working homebrew synthesizer beyond these academic platforms.</w:t>
      </w:r>
    </w:p>
    <w:p>
      <w:r>
        <w:rPr>
          <w:b/>
          <w:sz w:val="23"/>
        </w:rPr>
        <w:t>Fidelity, and the pipeline that follows synthesis, is the binding constraint</w:t>
      </w:r>
    </w:p>
    <w:p>
      <w:r>
        <w:t>Assembling short oligonucleotides into genes is a standard method: the 901 base pair GFP gene has been assembled from 16-mers (US Patent 12,018,316). The constraint lies in fidelity. Standard practice for gene assembly targets above 90% full-length building blocks, and below roughly 70% a redesign or a different synthesis route is indicated, so DIY output at around 56% falls well short of what assembly requires.</w:t>
      </w:r>
    </w:p>
    <w:p>
      <w:r>
        <w:t>The effect compounds through assembly (Kosuri &amp; Church, 2014). Even with good-quality oligonucleotides, polymerase cycling assembly of a 1 kilobase fragment yielded only about 4% correct product before error correction, rising to roughly 31% after two rounds of enzymatic correction (Int. J. Mol. Sci., 2024, 25:11514). Recovering a correct functional gene from DIY-grade material therefore requires mismatch cleavage, clonal selection and sequence verification, none of which forms part of the synthesizer. Above approximately 7,000 to 10,000 base pairs, reliable assembly requires bacterial or yeast host systems, and many viral sequences are toxic to those hosts (NTI, 2023). These considerations are the reason the analysis is scoped to the synthesis step and treats assembly and pathogen rescue as lying outside it.</w:t>
      </w:r>
    </w:p>
    <w:p>
      <w:r>
        <w:rPr>
          <w:b/>
          <w:sz w:val="23"/>
        </w:rPr>
        <w:t>Commercial benchtop devices, and their jurisdictional distribution, present the larger exposure</w:t>
      </w:r>
    </w:p>
    <w:p>
      <w:r>
        <w:t>If the garage does not present the principal concern, the mature commercial layer does. Commercial column benchtop instruments reach 100 to 150 nucleotides and beyond at high fidelity, which makes their output directly usable for assembly, and they sell for around $60,000 new and between $15,000 and $30,000 second-hand (Institute for Progress / Langenkamp, 2024).</w:t>
      </w:r>
    </w:p>
    <w:p>
      <w:r>
        <w:t>The most consequential finding in the project concerns jurisdictional reach. Of the 34 benchtop manufacturers inventoried within the ERA/IBBIS group, 8 are headquartered in the United States and directly bound by a US mandate, 12 sit in allied jurisdictions where they can be reached only through harmonisation, and 14 fall outside both categories (ERA/IBBIS manufacturer inventory; Alexanian, 2026). Five of the nine firms founded since 2019 lie outside US jurisdiction, and they include the highest-throughput, array-based class. About 35% of the inventory predates 2010, a legacy installed base that cannot be retrofitted with know-your-customer checks or secure boot.</w:t>
      </w:r>
    </w:p>
    <w:p>
      <w:r>
        <w:t>A secondary market compounds the problem. Working instruments are listed openly with no buyer verification and, in the cases observed, with cross-border shipping. A Codex DNA and Telesis Bio 10-Q disclosure documents that, until late 2021, resellers sold BioXp units into embargoed destinations without required authorisations, which the company says it has since remediated (Telesis Bio, SEC Form 10-Q). An instrument sold second-hand carries none of the controls attached to its original sale, and its screening state cannot be verified by the next buyer.</w:t>
      </w:r>
    </w:p>
    <w:p>
      <w:r>
        <w:t>A US mandate consequently reaches fewer than a quarter of known manufacturers, while the newest and most capable capacity concentrates where it does not. International harmonisation therefore carries substantial weight in any workable architecture. A further finding compounds this: adopted-screening status could not be verified from public sources for any of the 34 firms, which leaves the benchtop layer effectively unauditable from outside.</w:t>
      </w:r>
    </w:p>
    <w:p>
      <w:r>
        <w:rPr>
          <w:b/>
          <w:sz w:val="23"/>
        </w:rPr>
        <w:t>Controls on inputs cannot close the gap</w:t>
      </w:r>
    </w:p>
    <w:p>
      <w:r>
        <w:t>Across the landscape as a whole, covering DIY and benchtop routes and both chemical and enzymatic synthesis, almost no input functions as a durable control point. Of 34 inputs assessed, the large majority are commodity items available from many suppliers, substitutable, and subject to legitimate demand that overwhelms any synthesis-specific signal. Phosphoramidites are supplied by some 45 to 60 firms worldwide (Grand View Research; Mordor Intelligence) and can be produced on demand from more stable precursors (Sandahl et al., 2021). Acetonitrile can be replaced in DIY synthesis by propylene carbonate, an unregulated food additive (Kim, Kim &amp; Bang, 2024).</w:t>
      </w:r>
    </w:p>
    <w:p>
      <w:r>
        <w:t>Only one input is genuinely difficult to obtain: the custom CMOS electrode array an electrochemical system would need, which is not an off-the-shelf part but a chip that must be designed and fabricated at a semiconductor foundry. The digital micromirror device used in photolithographic synthesis is made by a single manufacturer, Texas Instruments, but it is sold openly, so it is not hard to acquire (GMInsights, 2024); the practical barrier for a photolithographic build is the optics and alignment around it, not the chip. Neither can serve as a monitoring point, because their markets in semiconductors and projectors make any attempt to track sales impractical.</w:t>
      </w:r>
    </w:p>
    <w:p>
      <w:r>
        <w:t>The few real control points sit on the ordering and benchtop side, and they work in different ways. The commercial oligonucleotide pool that DropSynth consumes is a screening handle rather than a scarce input: it is easy to order, but because it comes from a provider it passes through that provider's sequence screening (Sidore et al., 2020). The proprietary reagent cartridge of the closed enzymatic benchtops and the device manufacturer are first-sale control points, and the aftermarket circumvents both. Restriction of the supply chain therefore does not provide a durable control point under either regime, consistent with the reasoning that governance screens sequences and devices rather than reagents (Rose et al., 2024), and this is the project's highest-confidence conclusion, one that survives worst-case testing.</w:t>
      </w:r>
    </w:p>
    <w:p>
      <w:r>
        <w:rPr>
          <w:b/>
          <w:sz w:val="23"/>
        </w:rPr>
        <w:t>Screening performs well against known sequences of concern, and less well against designed variants</w:t>
      </w:r>
    </w:p>
    <w:p>
      <w:r>
        <w:t>Screening tools perform well against the sequences they are designed to catch. An inter-tool analysis against a blinded NIST dataset found sensitivity above 95% and accuracy above 97%, with most tools already screening to 50 nucleotides (Laird et al., 2025).</w:t>
      </w:r>
    </w:p>
    <w:p>
      <w:r>
        <w:t>The demonstrated vulnerability is of a different kind. Protein variants designed with generative models can retain predicted function while diverging enough in sequence to evade similarity-based screening. Following coordinated disclosure and patching by three of the four providers involved, about 3% of the more-probably-functional variants continued to escape detection, a flag rate of roughly 97% (Wittmann et al., 2025). This is the gap that the functional sequence-of-concern provision scheduled for October 2026 is intended to address (OSTP, 2024), and it is why functional detection, as distinct from sequence similarity alone, is the frontier problem.</w:t>
      </w:r>
    </w:p>
    <w:p>
      <w:r>
        <w:rPr>
          <w:b/>
          <w:sz w:val="23"/>
        </w:rPr>
        <w:t>Synthesis route can be inferred from the product after the event</w:t>
      </w:r>
    </w:p>
    <w:p>
      <w:r>
        <w:t>Since prevention is imperfect by design, the project developed a capability for identifying synthesis route retrospectively, inferring it from characteristic error signatures in the sequence of the product, using reads alone and without any cooperation from the device that made it.</w:t>
      </w:r>
    </w:p>
    <w:p>
      <w:r>
        <w:t>The framework has since been tested against real data. When the deposited reads for four chemistries were reprocessed independently through the project pipeline, the per-method error rates recovered matched the originally published rates to within about 20%, which is close agreement for an independent reanalysis with a different pipeline rather than a synthesis error rate. Column phosphoramidite synthesis shows a capping-driven G→A bias, which reproduced at 12.2 fold against the paper's approximate 13 fold and proved independent of the polymerase used (Masaki, Onishi &amp; Seio, 2022). Photolithographic synthesis shows a G→T bias together with a spatial gradient across the array (Lietard et al., 2021). Electrochemical synthesis shows a deletion rate 18.8 times that of material deposition (Gimpel et al., 2023). On a single co-processed reference atlas of 65 runs, the four chemistries separate at 100% balanced accuracy under leakage-safe, leave-one-run-out validation.</w:t>
      </w:r>
    </w:p>
    <w:p>
      <w:r>
        <w:t>Attribution within a chemistry, to a particular vendor, is much harder (Filges, Mouhanna &amp; Ståhlberg, 2021). Under leave-one-lot-out validation, vendors whose profiles sit close together reach only around 72%. The defensible output is therefore exclusion, meaning the ruling out of a commercial-provider origin from an anomalous error profile, which redirects an investigation away from subpoenaing order records and towards searching for equipment. This mirrors the genetic-engineering-attribution literature, where exclusion has been the most successful output (Nielsen &amp; Voigt, 2018; Alley et al., 2020; Crook et al., 2022). One specific discriminator between DIY and commercial synthesis has been identified: OpenIDS omits the capping step (Kim, Kim &amp; Bang, 2024), so its product should show suppressed G→A substitution together with elevated n−1 deletions, anchored mechanistically in the reproduced capping result (Masaki, Onishi &amp; Seio, 2022). That prediction awaits product data from a collaborator, subject to IBBIS infohazard review. No synthesis is performed in-house.</w:t>
      </w:r>
    </w:p>
    <w:p>
      <w:r>
        <w:rPr>
          <w:b/>
          <w:sz w:val="23"/>
        </w:rPr>
        <w:t>Overall assessment</w:t>
      </w:r>
    </w:p>
    <w:p>
      <w:r>
        <w:t>The DIY frontier is narrower than surrounding discussion tends to assume. The two reproducible open-source synthesizers are both laboratory instruments that require substantial expertise, and both produce short or library-grade oligonucleotides that are not ready for assembly. The binding constraint sits downstream, in error correction, verification and host systems, not in the synthesis step itself. There is no evidence of a home-buildable synthesizer that works outside a lab.</w:t>
      </w:r>
    </w:p>
    <w:p>
      <w:r>
        <w:t>The exposure of greater consequence lies in the mature commercial benchtop layer, whose output is assembly-ready, proliferating, largely unscreened and actively resold, together with the jurisdictional position in which a US mandate reaches only 8 of 34 manufacturers. That exposure cannot be closed at the input. Reagents and components are commodity and substitutable, and the few harder-to-source items, the custom electrode array and the single-source but openly sold micromirror device, are not monitorable in any case, because their real markets lie in semiconductors and projectors.</w:t>
      </w:r>
    </w:p>
    <w:p>
      <w:r>
        <w:t>It follows that a single control at the point of sale is not enough, and the architecture has to be layered. Provider and on-device screening can be mandated by regulation. International harmonisation then determines how much of the world that screening actually covers. Post-hoc attribution, now demonstrated on real data, is the layer that acts after synthesis rather than before it, so it is the one that reaches the places prevention cannot: legacy devices, the resale market, and the residual DIY routes.</w:t>
      </w:r>
    </w:p>
    <w:p>
      <w:r>
        <w:t>---</w:t>
      </w:r>
    </w:p>
    <w:p>
      <w:r>
        <w:rPr>
          <w:b/>
          <w:sz w:val="26"/>
        </w:rPr>
        <w:t>References</w:t>
      </w:r>
    </w:p>
    <w:p>
      <w:r>
        <w:rPr>
          <w:b/>
          <w:sz w:val="23"/>
        </w:rPr>
        <w:t>Peer-reviewed literature</w:t>
      </w:r>
    </w:p>
    <w:p>
      <w:r>
        <w:t>Alley, E. C., et al. (2020). A machine learning toolkit for genetic engineering attribution to facilitate biosecurity. *Nature Communications*, 11, 6293. https://doi.org/10.1038/s41467-020-19612-0</w:t>
      </w:r>
    </w:p>
    <w:p>
      <w:r>
        <w:t>Crook, O. M., et al. (2022). Analysis of the first Genetic Engineering Attribution Challenge. *Nature Communications*, 13, 7374. https://doi.org/10.1038/s41467-022-35032-8</w:t>
      </w:r>
    </w:p>
    <w:p>
      <w:r>
        <w:t>Filges, S., Mouhanna, P., &amp; Ståhlberg, A. (2021). Digital quantification of chemical oligonucleotide synthesis errors. *Clinical Chemistry*, 67(10), 1384–1394. https://doi.org/10.1093/clinchem/hvab136</w:t>
      </w:r>
    </w:p>
    <w:p>
      <w:r>
        <w:t>Gimpel, A. L., Stark, W. J., Heckel, R., &amp; Grass, R. N. (2023). A digital twin for DNA data storage based on comprehensive quantification of errors and biases. *Nature Communications*, 14, 6026. https://doi.org/10.1038/s41467-023-41729-1</w:t>
      </w:r>
    </w:p>
    <w:p>
      <w:r>
        <w:t>Kim, J., Kim, H., &amp; Bang, D. (2024). An open-source, 3D printed inkjet DNA synthesizer. *Scientific Reports*, 14, 3773. https://doi.org/10.1038/s41598-024-53944-x</w:t>
      </w:r>
    </w:p>
    <w:p>
      <w:r>
        <w:t>Kim, J., Kim, H., &amp; Bang, D. (2025). OpenIDS2: a low-cost, 3D-printed, open-source platform for reproducible construction of DNA microarray synthesizers. *PLOS ONE*, 20, e0338478. https://doi.org/10.1371/journal.pone.0338478</w:t>
      </w:r>
    </w:p>
    <w:p>
      <w:r>
        <w:t>Kosuri, S., &amp; Church, G. M. (2014). Large-scale de novo DNA synthesis: technologies and applications. *Nature Methods*, 11(5), 499–507. https://doi.org/10.1038/nmeth.2918</w:t>
      </w:r>
    </w:p>
    <w:p>
      <w:r>
        <w:t>Laird, T. S., et al. (2025). Inter-tool analysis of a NIST dataset for assessing baseline nucleic acid sequence screening. *Applied Biosafety.* https://doi.org/10.1177/15356760251401228</w:t>
      </w:r>
    </w:p>
    <w:p>
      <w:r>
        <w:t>Lee, H. H., Kalhor, R., Goela, N., Bolot, J., &amp; Church, G. M. (2019). Terminator-free template-independent enzymatic DNA synthesis for digital information storage. *Nature Communications*, 10, 2383. https://doi.org/10.1038/s41467-019-10258-1</w:t>
      </w:r>
    </w:p>
    <w:p>
      <w:r>
        <w:t>Lietard, J., et al. (2021). Chemical and photochemical error rates in light-directed synthesis of complex DNA libraries. *Nucleic Acids Research*, 49(12), 6687–6701. https://doi.org/10.1093/nar/gkab505</w:t>
      </w:r>
    </w:p>
    <w:p>
      <w:r>
        <w:t>Masaki, Y., Onishi, Y., &amp; Seio, K. (2022). Quantification of synthetic errors during chemical synthesis of DNA and its suppression by non-canonical nucleosides. *Scientific Reports*, 12, 12095. https://doi.org/10.1038/s41598-022-16222-2</w:t>
      </w:r>
    </w:p>
    <w:p>
      <w:r>
        <w:t>Nielsen, A. A. K., &amp; Voigt, C. A. (2018). Deep learning to predict the lab-of-origin of engineered DNA. *Nature Communications*, 9, 3135. https://doi.org/10.1038/s41467-018-05378-z</w:t>
      </w:r>
    </w:p>
    <w:p>
      <w:r>
        <w:t>Palluk, S., Arlow, D. H., de Rond, T., et al. (2018). De novo DNA synthesis using polymerase–nucleotide conjugates. *Nature Biotechnology*, 36(7), 645–650. https://doi.org/10.1038/nbt.4173</w:t>
      </w:r>
    </w:p>
    <w:p>
      <w:r>
        <w:t>Plesa, C., Sidore, A. M., Lubock, N. B., Zhang, D., &amp; Kosuri, S. (2018). Multiplexed gene synthesis in emulsions for exploring protein functional landscapes. *Science*, 359(6373), 343–347. https://doi.org/10.1126/science.aao5167</w:t>
      </w:r>
    </w:p>
    <w:p>
      <w:r>
        <w:t>Rose, S., Alexanian, T., Langenkamp, M., Cozzarini, H., &amp; Diggans, J. (2024). Practical Questions for Securing Nucleic Acid Synthesis. *Applied Biosafety*, 29(3), 159–171. https://doi.org/10.1089/apb.2023.0028</w:t>
      </w:r>
    </w:p>
    <w:p>
      <w:r>
        <w:t>Sandahl, A. F., Nguyen, T. J. D., Hansen, R. A., Johansen, M. B., Skrydstrup, T., &amp; Gothelf, K. V. (2021). On-demand synthesis of phosphoramidites. *Nature Communications*, 12, 2760. https://doi.org/10.1038/s41467-021-22945-z</w:t>
      </w:r>
    </w:p>
    <w:p>
      <w:r>
        <w:t>Sidore, A. M., Plesa, C., Samson, J. A., Lubock, N. B., &amp; Kosuri, S. (2020). DropSynth 2.0: high-fidelity multiplexed gene synthesis in emulsions. *Nucleic Acids Research*, 48(16), e95. https://doi.org/10.1093/nar/gkaa600</w:t>
      </w:r>
    </w:p>
    <w:p>
      <w:r>
        <w:t>Somoza, M. M., et al. (2024). An open-source advanced maskless synthesizer for light-directed chemical synthesis of large nucleic acid libraries and microarrays. *ChemRxiv.* https://doi.org/10.26434/chemrxiv-2024-j4c90</w:t>
      </w:r>
    </w:p>
    <w:p>
      <w:r>
        <w:t>*Optimization of PCA Error Correction Conditions to Improve Efficiency of Virus Genome De Novo Synthesis* (2024). *International Journal of Molecular Sciences*, 25(21), 11514. https://doi.org/10.3390/ijms252111514</w:t>
      </w:r>
    </w:p>
    <w:p>
      <w:r>
        <w:t>Wittmann, B. J., et al. (2025). Strengthening nucleic acid biosecurity screening against generative protein design tools. *Science*, 390(6768), 82–87. https://doi.org/10.1126/science.adu8578</w:t>
      </w:r>
    </w:p>
    <w:p>
      <w:r>
        <w:rPr>
          <w:b/>
          <w:sz w:val="23"/>
        </w:rPr>
        <w:t>Policy, legal and institutional</w:t>
      </w:r>
    </w:p>
    <w:p>
      <w:r>
        <w:t>Executive Order 14292 (2025). Improving the Safety and Security of Biological Research. *Federal Register*, 90 FR 19611 (May 8, 2025).</w:t>
      </w:r>
    </w:p>
    <w:p>
      <w:r>
        <w:t>Institute for Progress / Langenkamp, M. (2024). *Securing Benchtop DNA Synthesizers.* https://ifp.org/securing-benchtop-dna-synthesizers/</w:t>
      </w:r>
    </w:p>
    <w:p>
      <w:r>
        <w:t>International Gene Synthesis Consortium (2024). *Harmonized Screening Protocol v3.0.* https://genesynthesisconsortium.org/</w:t>
      </w:r>
    </w:p>
    <w:p>
      <w:r>
        <w:t>Nuclear Threat Initiative | bio (2023). *Benchtop DNA Synthesis Devices: Capabilities, Biosecurity Implications, and Governance.*</w:t>
      </w:r>
    </w:p>
    <w:p>
      <w:r>
        <w:t>Office of Science and Technology Policy (2024). *Framework for Nucleic Acid Synthesis Screening.* ASPR S3. https://aspr.hhs.gov/S3/</w:t>
      </w:r>
    </w:p>
    <w:p>
      <w:r>
        <w:t>Telesis Bio Inc. (formerly Codex DNA, Inc.). Form 10-Q, U.S. Securities and Exchange Commission (EDGAR CIK 1850079) — export-compliance / BioXp reseller disclosure.</w:t>
      </w:r>
    </w:p>
    <w:p>
      <w:r>
        <w:t>US Patent 12,018,316. *Methods for assembling nucleic acids* — assembly of a 901 bp GFP gene from 16-mers (Example 2).</w:t>
      </w:r>
    </w:p>
    <w:p>
      <w:r>
        <w:rPr>
          <w:b/>
          <w:sz w:val="23"/>
        </w:rPr>
        <w:t>Industry, company and market sources</w:t>
      </w:r>
    </w:p>
    <w:p>
      <w:r>
        <w:t>Grand View Research; Mordor Intelligence. *Phosphoramidite market* (supplier count and market size).</w:t>
      </w:r>
    </w:p>
    <w:p>
      <w:r>
        <w:t>GMInsights (2024). *Digital Micromirror Device Market* — Texas Instruments as the sole commercial DMD manufacturer.</w:t>
      </w:r>
    </w:p>
    <w:p>
      <w:r>
        <w:t>Helices Biological Photolithography GmbH (2026). MAS 2.0. https://helicesbio.com/ (instrument cost and specifications; developer interview, July 2026).</w:t>
      </w:r>
    </w:p>
    <w:p>
      <w:r>
        <w:t>ERA/IBBIS benchtop-manufacturer inventory (Alexanian, 2026) — 34-firm jurisdictional census (internal working-group 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