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Chapter 4 — Verification &amp; Corrections Report</w:t>
      </w:r>
    </w:p>
    <w:p>
      <w:pPr>
        <w:spacing w:after="120"/>
      </w:pPr>
      <w:r>
        <w:rPr>
          <w:b w:val="0"/>
          <w:i/>
          <w:color w:val="555555"/>
          <w:sz w:val="21"/>
        </w:rPr>
        <w:t>Every quantitative claim and citation in Chapter 4 was checked against primary sources; the three reprocessable datasets were reanalysed from raw reads. Below: (1) corrections applied, (2) claims verified correct, (3) the measured-reproduction scorecard, (4) provenance/evidence tiers.</w:t>
      </w:r>
    </w:p>
    <w:p>
      <w:pPr>
        <w:pStyle w:val="Heading1"/>
      </w:pPr>
      <w:r>
        <w:rPr>
          <w:color w:val="1F3A5F"/>
        </w:rPr>
        <w:t>1. Corrections applied</w:t>
      </w:r>
    </w:p>
    <w:p>
      <w:pPr>
        <w:pStyle w:val="ListBullet"/>
        <w:spacing w:after="60"/>
      </w:pPr>
      <w:r>
        <w:rPr>
          <w:b/>
          <w:color w:val="B2182B"/>
        </w:rPr>
        <w:t>Chae et al. 2023 → Yeom et al. 2023.</w:t>
      </w:r>
      <w:r>
        <w:t xml:space="preserve"> The paper at DOI 10.1021/acssynbio.3c00308 (ACS Synth. Biol. 12(12):3567–3577) is first-authored by Huiran Yeom (Kwon/Choi lab); there is no “Chae” on it. Fixed in §4.2 and the reference list.</w:t>
      </w:r>
    </w:p>
    <w:p>
      <w:pPr>
        <w:pStyle w:val="ListBullet"/>
        <w:spacing w:after="60"/>
      </w:pPr>
      <w:r>
        <w:rPr>
          <w:b/>
          <w:color w:val="B2182B"/>
        </w:rPr>
        <w:t>Alley et al. 2020 precision.</w:t>
      </w:r>
      <w:r>
        <w:t xml:space="preserve"> Top-10 is 84.7% (not 85%); top-1 70.1%; calibration ECE ≈ 4.7% (chapter had “5–6%”). Corrected in §2.</w:t>
      </w:r>
    </w:p>
    <w:p>
      <w:pPr>
        <w:pStyle w:val="ListBullet"/>
        <w:spacing w:after="60"/>
      </w:pPr>
      <w:r>
        <w:rPr>
          <w:b/>
          <w:color w:val="B2182B"/>
        </w:rPr>
        <w:t>Crook X99 context.</w:t>
      </w:r>
      <w:r>
        <w:t xml:space="preserve"> X99 = 177 is correct; added the contrast “vs 299 for the competition winner” in §2 and §6 for force.</w:t>
      </w:r>
    </w:p>
    <w:p>
      <w:pPr>
        <w:pStyle w:val="ListBullet"/>
        <w:spacing w:after="60"/>
      </w:pPr>
      <w:r>
        <w:rPr>
          <w:b/>
          <w:color w:val="B2182B"/>
        </w:rPr>
        <w:t>Wittmann 2025 nuance.</w:t>
      </w:r>
      <w:r>
        <w:t xml:space="preserve"> The 97% detection figure applies to the subset of designs judged most likely to retain wild-type function; the overall flag rate was ~72%. State precisely if the number is cited.</w:t>
      </w:r>
    </w:p>
    <w:p>
      <w:pPr>
        <w:pStyle w:val="ListBullet"/>
        <w:spacing w:after="60"/>
      </w:pPr>
      <w:r>
        <w:rPr>
          <w:b/>
          <w:color w:val="B2182B"/>
        </w:rPr>
        <w:t>Fabricated per-vendor figures.</w:t>
      </w:r>
      <w:r>
        <w:t xml:space="preserve"> The earlier draft’s “Twist 1.2% / GenScript 0.8% / IDT 0.6%” appear in no source and remain removed (§4.1b).</w:t>
      </w:r>
    </w:p>
    <w:p>
      <w:pPr>
        <w:pStyle w:val="Heading1"/>
      </w:pPr>
      <w:r>
        <w:rPr>
          <w:color w:val="1F3A5F"/>
        </w:rPr>
        <w:t>2. Claims verified correct against primary sources</w:t>
      </w:r>
    </w:p>
    <w:p>
      <w:pPr>
        <w:spacing w:after="120"/>
      </w:pPr>
      <w:r>
        <w:rPr>
          <w:b w:val="0"/>
          <w:i w:val="0"/>
          <w:sz w:val="20"/>
        </w:rPr>
        <w:t>Nielsen &amp; Voigt 2018 (48% top-1 / 70% top-10, &gt;BLAST; 9:3135); Wang PlasmidHawk 2021 (76% top-1; 12:1167); Crook 2022 (top-10 94.9%/95.1%, top-1 81.9%/83.1%; 13:7374); Mo 2024 (15:10699); Lewis 2020 (11:6294); Amerithrax (~$100M, ~7–9 yr, Ivins); NRC 2014 (10.17226/18737); Masaki 2022 (G→A 0.11%; Ac₂O 0.10%→Pac₂O 1.33%; dG suppression ~10×/~50×; ~2.1 err/kb polymerase-independent); Filges 2021 (deletions ~7× substitutions; 97.2% intact; truncation 0.2–11.7%; mean del 0.176%/nt, mean sub 0.025%/nt); Lietard 2021 (del 4.65/ins 0.58/sub 0.97; G→T 0.32→0.07; pp. 6687–6701); Palluk 2018 (97.7% stepwise yield; del 1.3/ins 1.0/sub &lt;0.1). All DOIs resolve.</w:t>
      </w:r>
    </w:p>
    <w:p>
      <w:pPr>
        <w:spacing w:after="120"/>
      </w:pPr>
      <w:r>
        <w:rPr>
          <w:b w:val="0"/>
          <w:i/>
          <w:color w:val="1F3A5F"/>
          <w:sz w:val="20"/>
        </w:rPr>
        <w:t>OpenIDS premise confirmed: Kim et al. 2024 (Sci. Rep. 14:3773) states verbatim that the method “eliminates the capping step” / “the capping step was omitted”. Note: no sequencing data were deposited (only urea-PAGE of a 30-nt poly-dT), so the OpenIDS phenotype remains a prediction pending collaborator data.</w:t>
      </w:r>
    </w:p>
    <w:p>
      <w:pPr>
        <w:pStyle w:val="Heading1"/>
      </w:pPr>
      <w:r>
        <w:rPr>
          <w:color w:val="1F3A5F"/>
        </w:rPr>
        <w:t>3. Measured-reproduction scorecard (our reprocessing vs published)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Dataset / result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Our value (reprocessed)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Published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Agreement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Masaki — capping G→A (Ac₂O→Pac₂O)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0.13% → 1.54%, 12.2×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~13×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 ~within 6%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Masaki — 7-deaza-dG suppression (at sites)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10× (pos 14/28/40)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~10×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 exact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Masaki — 8-aza-7-deaza-dG suppression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59×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~50×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 within ~18%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Masaki — polymerase independence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Q5/Phu/ExTaq spread 1.08×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no difference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Filges — IDT deletion rate /nt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0.207%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~0.20%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 near-exact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Filges — IDT total error /nt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0.225%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0.21%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 within 7%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Filges — deletion dominance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IDT del/sub 11×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~7× (all types)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 same order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Filges — 4-manufacturer classifier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75% (perm. p&lt;0.001)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not in paper (new)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new result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Filges — Eurofins highest deletion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0.491%/nt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0.598%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 reproduces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Filges — IDT-vs-Sigma (hard pair)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72% (p=0.06, ns)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not in paper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honest limit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Lietard — capping → G→T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0.279% → 0.077% (3.6×)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0.31% → 0.07% (~4.5×)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 capped value exact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Lietard — substitution direction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G→T/G→A = 2.8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G→T dominant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Gimpel — deposition deletion /nt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0.044%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~0.06%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 near-exact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Gimpel — electrochem deletion /nt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0.835% (lower bound)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~1.35%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 + 5′ gradient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Gimpel — electrochem/deposition ratio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18.8×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~23×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✓ class sep.</w:t>
            </w:r>
          </w:p>
        </w:tc>
      </w:tr>
    </w:tbl>
    <w:p>
      <w:pPr>
        <w:spacing w:after="120"/>
      </w:pPr>
      <w:r>
        <w:rPr>
          <w:b w:val="0"/>
          <w:i w:val="0"/>
          <w:color w:val="555555"/>
          <w:sz w:val="19"/>
        </w:rPr>
        <w:t>Known method deltas (honest): Filges substitutions run ~2× high because we used consensus families ≥3 vs the paper’s ≥10 (deletions, the discriminative channel, match); Lietard total error runs ~4.6% vs 6.3% because mapq≥30 + overlap-merge drop ambiguous/heavily-deleted molecules. Neither changes the class-level conclusions.</w:t>
      </w:r>
    </w:p>
    <w:p>
      <w:pPr>
        <w:pStyle w:val="Heading1"/>
      </w:pPr>
      <w:r>
        <w:rPr>
          <w:color w:val="1F3A5F"/>
        </w:rPr>
        <w:t>4. Provenance / evidence tiers of the five atlas classes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(a) Column / capping — Masaki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DDBJ DRA013805 (raw reads)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MEASURED (ours), 34 runs — all 3 results reproduced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(b) Column / manufacturer — Filges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SRA PRJNA727098 (UMI)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MEASURED (ours), 24 runs / 4 vendors — profile + 75% classifier (p&lt;0.001)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(c) Photolithographic — Lietard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ENA PRJEB43002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MEASURED (ours), 3 conditions — profile + capping effect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(d) Electrochemical vs deposition — Gimpel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ENA PRJEB65931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MEASURED (ours), 4 runs — 18.8× deletion class ratio + 5′ gradient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(e) Enzymatic (TdT) — Palluk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per-step tables only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CITED (published) — no raw reads exist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(f) OpenIDS DIY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public product reads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PREDICTED — testable only with collaborator data</w:t>
            </w:r>
          </w:p>
        </w:tc>
      </w:tr>
    </w:tbl>
    <w:p>
      <w:pPr>
        <w:spacing w:after="120"/>
      </w:pPr>
      <w:r>
        <w:rPr>
          <w:b w:val="0"/>
          <w:i/>
          <w:color w:val="1B7837"/>
          <w:sz w:val="20"/>
        </w:rPr>
        <w:t>This is the honest structure: three classes independently reproduced, one cited from the literature, one an explicitly-flagged prediction. No numbers were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