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90b336c420174bd64e01199a8f381e94d9f87c"/>
    <w:p>
      <w:pPr>
        <w:pStyle w:val="Heading1"/>
      </w:pPr>
      <w:r>
        <w:t xml:space="preserve">Preliminary Literature Review: DIY DNA Oligonucleotide Synthesis</w:t>
      </w:r>
    </w:p>
    <w:bookmarkStart w:id="20" w:name="X361f8d8b94a741612b276739c6b136e356cd240"/>
    <w:p>
      <w:pPr>
        <w:pStyle w:val="Heading2"/>
      </w:pPr>
      <w:r>
        <w:t xml:space="preserve">Technical Landscape, Accessibility Trends &amp; Biosecurity Implications</w:t>
      </w:r>
    </w:p>
    <w:p>
      <w:pPr>
        <w:pStyle w:val="FirstParagraph"/>
      </w:pPr>
      <w:r>
        <w:rPr>
          <w:bCs/>
          <w:b/>
        </w:rPr>
        <w:t xml:space="preserve">Compiled:</w:t>
      </w:r>
      <w:r>
        <w:t xml:space="preserve"> </w:t>
      </w:r>
      <w:r>
        <w:t xml:space="preserve">July 7, 2026 |</w:t>
      </w:r>
      <w:r>
        <w:t xml:space="preserve"> </w:t>
      </w:r>
      <w:r>
        <w:rPr>
          <w:bCs/>
          <w:b/>
        </w:rPr>
        <w:t xml:space="preserve">Status:</w:t>
      </w:r>
      <w:r>
        <w:t xml:space="preserve"> </w:t>
      </w:r>
      <w:r>
        <w:t xml:space="preserve">Deep research phase</w:t>
      </w:r>
    </w:p>
    <w:p>
      <w:r>
        <w:pict>
          <v:rect style="width:0;height:1.5pt" o:hralign="center" o:hrstd="t" o:hr="t"/>
        </w:pict>
      </w:r>
    </w:p>
    <w:bookmarkEnd w:id="20"/>
    <w:bookmarkStart w:id="25" w:name="part-1-core-technology-landscape"/>
    <w:p>
      <w:pPr>
        <w:pStyle w:val="Heading2"/>
      </w:pPr>
      <w:r>
        <w:t xml:space="preserve">PART 1: CORE TECHNOLOGY LANDSCAPE</w:t>
      </w:r>
    </w:p>
    <w:bookmarkStart w:id="21" w:name="X08ea09a953eb7203c05bcf46f6ba6b5e84a9bc5"/>
    <w:p>
      <w:pPr>
        <w:pStyle w:val="Heading3"/>
      </w:pPr>
      <w:r>
        <w:t xml:space="preserve">1.1 OpenIDS: Inkjet-Based Synthesis (TRL 5 — Demonstrated)</w:t>
      </w:r>
    </w:p>
    <w:p>
      <w:pPr>
        <w:pStyle w:val="FirstParagraph"/>
      </w:pPr>
      <w:r>
        <w:rPr>
          <w:bCs/>
          <w:b/>
        </w:rPr>
        <w:t xml:space="preserve">Primary Reference:</w:t>
      </w:r>
      <w:r>
        <w:t xml:space="preserve"> </w:t>
      </w:r>
      <w:r>
        <w:t xml:space="preserve">-</w:t>
      </w:r>
      <w:r>
        <w:t xml:space="preserve"> </w:t>
      </w:r>
      <w:r>
        <w:t xml:space="preserve">Kim, J., Kim, H., &amp; Bang, D. (2024).</w:t>
      </w:r>
      <w:r>
        <w:t xml:space="preserve"> </w:t>
      </w:r>
      <w:r>
        <w:t xml:space="preserve">“</w:t>
      </w:r>
      <w:r>
        <w:t xml:space="preserve">An open-source, 3D printed inkjet DNA synthesizer.</w:t>
      </w:r>
      <w:r>
        <w:t xml:space="preserve">”</w:t>
      </w:r>
      <w:r>
        <w:t xml:space="preserve"> </w:t>
      </w:r>
      <w:r>
        <w:rPr>
          <w:iCs/>
          <w:i/>
        </w:rPr>
        <w:t xml:space="preserve">Scientific Reports</w:t>
      </w:r>
      <w:r>
        <w:t xml:space="preserve">, 14, 3773. https://doi.org/10.1038/s41598-024-53944-x</w:t>
      </w:r>
    </w:p>
    <w:p>
      <w:pPr>
        <w:pStyle w:val="BodyText"/>
      </w:pPr>
      <w:r>
        <w:rPr>
          <w:bCs/>
          <w:b/>
        </w:rPr>
        <w:t xml:space="preserve">Key Technical Specifications:</w:t>
      </w:r>
      <w:r>
        <w:t xml:space="preserve"> </w:t>
      </w:r>
      <w:r>
        <w:t xml:space="preserve">-</w:t>
      </w:r>
      <w:r>
        <w:t xml:space="preserve"> </w:t>
      </w:r>
      <w:r>
        <w:t xml:space="preserve">Synthesized oligonucleotides on 144 spots on a 15 × 25-mm silicon wafer filled with controlled pore glass with approximately 98% synthesis yield per cycle</w:t>
      </w:r>
      <w:r>
        <w:t xml:space="preserve"> </w:t>
      </w:r>
      <w:r>
        <w:t xml:space="preserve">- Architecture:</w:t>
      </w:r>
      <w:r>
        <w:t xml:space="preserve"> </w:t>
      </w:r>
      <w:r>
        <w:t xml:space="preserve">Utilizes 3D printing, Arduino, and Raspberry Pi, achieving robust stability with an industrial inkjet printhead</w:t>
      </w:r>
      <w:r>
        <w:t xml:space="preserve"> </w:t>
      </w:r>
      <w:r>
        <w:t xml:space="preserve">-</w:t>
      </w:r>
      <w:r>
        <w:t xml:space="preserve"> </w:t>
      </w:r>
      <w:r>
        <w:t xml:space="preserve">Maintenance of low production costs makes it suitable for self-fabrication and optimization in academic laboratories; even non-experts can create and control the synthesizer with a high degree of freedom for structural modifications</w:t>
      </w:r>
    </w:p>
    <w:p>
      <w:pPr>
        <w:pStyle w:val="BodyText"/>
      </w:pPr>
      <w:r>
        <w:rPr>
          <w:bCs/>
          <w:b/>
        </w:rPr>
        <w:t xml:space="preserve">Cost Analysis:</w:t>
      </w:r>
      <w:r>
        <w:t xml:space="preserve"> </w:t>
      </w:r>
      <w:r>
        <w:t xml:space="preserve">- Full 5-printhead system: ~$19,900 (compared to $34,000 for previous POSaM system, and $15-30K for used commercial synthesizers)</w:t>
      </w:r>
      <w:r>
        <w:t xml:space="preserve"> </w:t>
      </w:r>
      <w:r>
        <w:t xml:space="preserve">- Scalability: Modular design allows addition of printheads for increased parallelism</w:t>
      </w:r>
      <w:r>
        <w:t xml:space="preserve"> </w:t>
      </w:r>
      <w:r>
        <w:t xml:space="preserve">- Reagent cost per sequence: Estimates suggest $1-5 per sequence at scale (1000+ sequences)</w:t>
      </w:r>
    </w:p>
    <w:p>
      <w:pPr>
        <w:pStyle w:val="BodyText"/>
      </w:pPr>
      <w:r>
        <w:rPr>
          <w:bCs/>
          <w:b/>
        </w:rPr>
        <w:t xml:space="preserve">GitHub Repository &amp; Resources:</w:t>
      </w:r>
      <w:r>
        <w:t xml:space="preserve"> </w:t>
      </w:r>
      <w:r>
        <w:t xml:space="preserve">- https://github.com/regiregire/OpenIDS</w:t>
      </w:r>
      <w:r>
        <w:t xml:space="preserve"> </w:t>
      </w:r>
      <w:r>
        <w:t xml:space="preserve">-</w:t>
      </w:r>
      <w:r>
        <w:t xml:space="preserve"> </w:t>
      </w:r>
      <w:r>
        <w:t xml:space="preserve">OpenIDS is an easy-to-build and highly scalable open-source inkjet-based microarray synthesis device built using 3D printing, Arduino, and Raspberry Pi</w:t>
      </w:r>
    </w:p>
    <w:p>
      <w:pPr>
        <w:pStyle w:val="BodyText"/>
      </w:pPr>
      <w:r>
        <w:rPr>
          <w:bCs/>
          <w:b/>
        </w:rPr>
        <w:t xml:space="preserve">Follow-up Development:</w:t>
      </w:r>
      <w:r>
        <w:t xml:space="preserve"> </w:t>
      </w:r>
      <w:r>
        <w:t xml:space="preserve">-</w:t>
      </w:r>
      <w:r>
        <w:t xml:space="preserve"> </w:t>
      </w:r>
      <w:r>
        <w:t xml:space="preserve">OpenIDS2 (2025) demonstrates the practicality of a fully open, benchtop oligonucleotide synthesizer, serving as a reproducible and extensible foundational platform that lowers the barrier to entry for laboratory automation</w:t>
      </w:r>
      <w:r>
        <w:t xml:space="preserve"> </w:t>
      </w:r>
      <w:r>
        <w:t xml:space="preserve">- Published in: PLOS ONE (December 2025)</w:t>
      </w:r>
    </w:p>
    <w:p>
      <w:pPr>
        <w:pStyle w:val="BodyText"/>
      </w:pPr>
      <w:r>
        <w:rPr>
          <w:bCs/>
          <w:b/>
        </w:rPr>
        <w:t xml:space="preserve">Chemistry Innovation:</w:t>
      </w:r>
      <w:r>
        <w:t xml:space="preserve"> </w:t>
      </w:r>
      <w:r>
        <w:t xml:space="preserve">-</w:t>
      </w:r>
      <w:r>
        <w:t xml:space="preserve"> </w:t>
      </w:r>
      <w:r>
        <w:t xml:space="preserve">Propylene carbonate (PC) is used as a less-volatile alternative to acetonitrile, achieving coupling efficiency of 94–98% for inkjet oligonucleotide synthesis</w:t>
      </w:r>
      <w:r>
        <w:t xml:space="preserve"> </w:t>
      </w:r>
      <w:r>
        <w:t xml:space="preserve">-</w:t>
      </w:r>
      <w:r>
        <w:t xml:space="preserve"> </w:t>
      </w:r>
      <w:r>
        <w:rPr>
          <w:bCs/>
          <w:b/>
        </w:rPr>
        <w:t xml:space="preserve">Biosecurity Implication:</w:t>
      </w:r>
      <w:r>
        <w:t xml:space="preserve"> </w:t>
      </w:r>
      <w:r>
        <w:t xml:space="preserve">Propylene carbonate is a food additive and industrial solvent—completely unregulated, unlike acetonitrile (which is tracked as a precursor chemical in many jurisdictions)</w:t>
      </w:r>
    </w:p>
    <w:p>
      <w:r>
        <w:pict>
          <v:rect style="width:0;height:1.5pt" o:hralign="center" o:hrstd="t" o:hr="t"/>
        </w:pict>
      </w:r>
    </w:p>
    <w:bookmarkEnd w:id="21"/>
    <w:bookmarkStart w:id="22" w:name="X2fe2a8bc2426972735bfe572d460a1af1782d7b"/>
    <w:p>
      <w:pPr>
        <w:pStyle w:val="Heading3"/>
      </w:pPr>
      <w:r>
        <w:t xml:space="preserve">1.2 DropSynth: Microfluidic Droplet Array Synthesis (Research Prototype)</w:t>
      </w:r>
    </w:p>
    <w:p>
      <w:pPr>
        <w:pStyle w:val="FirstParagraph"/>
      </w:pPr>
      <w:r>
        <w:rPr>
          <w:bCs/>
          <w:b/>
        </w:rPr>
        <w:t xml:space="preserve">Primary Reference:</w:t>
      </w:r>
      <w:r>
        <w:t xml:space="preserve"> </w:t>
      </w:r>
      <w:r>
        <w:t xml:space="preserve">-</w:t>
      </w:r>
      <w:r>
        <w:t xml:space="preserve"> </w:t>
      </w:r>
      <w:r>
        <w:t xml:space="preserve">DropSynth works by assembling genes through the isolation and assembly of microarray-derived oligos in droplets. Genes are bioinformatically split into several oligos and flanked with restriction sites, priming sequences and a 12-nt microbead barcode sequence that is common to all oligos needed to assemble a given gene</w:t>
      </w:r>
      <w:r>
        <w:t xml:space="preserve"> </w:t>
      </w:r>
      <w:r>
        <w:t xml:space="preserve">- Castellanos, A., et al. (2020).</w:t>
      </w:r>
      <w:r>
        <w:t xml:space="preserve"> </w:t>
      </w:r>
      <w:r>
        <w:t xml:space="preserve">“</w:t>
      </w:r>
      <w:r>
        <w:t xml:space="preserve">DropSynth 2.0: high-fidelity multiplexed gene synthesis in emulsions.</w:t>
      </w:r>
      <w:r>
        <w:t xml:space="preserve">”</w:t>
      </w:r>
      <w:r>
        <w:t xml:space="preserve"> </w:t>
      </w:r>
      <w:r>
        <w:rPr>
          <w:iCs/>
          <w:i/>
        </w:rPr>
        <w:t xml:space="preserve">Nucleic Acids Research</w:t>
      </w:r>
      <w:r>
        <w:t xml:space="preserve">, 48(16), e95.</w:t>
      </w:r>
    </w:p>
    <w:p>
      <w:pPr>
        <w:pStyle w:val="BodyText"/>
      </w:pPr>
      <w:r>
        <w:rPr>
          <w:bCs/>
          <w:b/>
        </w:rPr>
        <w:t xml:space="preserve">Advantages Over Inkjet:</w:t>
      </w:r>
      <w:r>
        <w:t xml:space="preserve"> </w:t>
      </w:r>
      <w:r>
        <w:t xml:space="preserve">- Massively parallel synthesis (100s-1000s of sequences simultaneously)</w:t>
      </w:r>
      <w:r>
        <w:t xml:space="preserve"> </w:t>
      </w:r>
      <w:r>
        <w:t xml:space="preserve">- Extremely low per-droplet volumes (picoliter scale)</w:t>
      </w:r>
      <w:r>
        <w:t xml:space="preserve"> </w:t>
      </w:r>
      <w:r>
        <w:t xml:space="preserve">-</w:t>
      </w:r>
      <w:r>
        <w:t xml:space="preserve"> </w:t>
      </w:r>
      <w:r>
        <w:t xml:space="preserve">Microfluidic droplet assays enable ultra-high-throughput compartmentalization of reactions within very small volumes (~1,000,000 droplets/hr and 6-pL/droplet), reducing reaction costs by up to 10^6-fold</w:t>
      </w:r>
    </w:p>
    <w:p>
      <w:pPr>
        <w:pStyle w:val="BodyText"/>
      </w:pPr>
      <w:r>
        <w:rPr>
          <w:bCs/>
          <w:b/>
        </w:rPr>
        <w:t xml:space="preserve">Current Status:</w:t>
      </w:r>
      <w:r>
        <w:t xml:space="preserve"> </w:t>
      </w:r>
      <w:r>
        <w:t xml:space="preserve">- Research prototype stage; less mature than OpenIDS but higher scalability potential</w:t>
      </w:r>
      <w:r>
        <w:t xml:space="preserve"> </w:t>
      </w:r>
      <w:r>
        <w:t xml:space="preserve">- Requires microfluidic chip fabrication (more challenging than OpenIDS’s 3D-printed components)</w:t>
      </w:r>
      <w:r>
        <w:t xml:space="preserve"> </w:t>
      </w:r>
      <w:r>
        <w:t xml:space="preserve">- Not yet widely adopted in DIY settings</w:t>
      </w:r>
    </w:p>
    <w:p>
      <w:pPr>
        <w:pStyle w:val="BodyText"/>
      </w:pPr>
      <w:r>
        <w:rPr>
          <w:bCs/>
          <w:b/>
        </w:rPr>
        <w:t xml:space="preserve">Related Technologies:</w:t>
      </w:r>
      <w:r>
        <w:t xml:space="preserve"> </w:t>
      </w:r>
      <w:r>
        <w:t xml:space="preserve">-</w:t>
      </w:r>
      <w:r>
        <w:t xml:space="preserve"> </w:t>
      </w:r>
      <w:r>
        <w:t xml:space="preserve">Microfluidic droplet-storage arrays capable of continuous operation of droplet formation, storing, repositioning, retrieving, injecting and restoring have been demonstrated, with potential for complex chemical and biologic reactions especially requiring incubation and dosing steps</w:t>
      </w:r>
      <w:r>
        <w:t xml:space="preserve"> </w:t>
      </w:r>
      <w:r>
        <w:t xml:space="preserve">- Rho, H.S., &amp; Gardeniers, H. (2020).</w:t>
      </w:r>
      <w:r>
        <w:t xml:space="preserve"> </w:t>
      </w:r>
      <w:r>
        <w:t xml:space="preserve">“</w:t>
      </w:r>
      <w:r>
        <w:t xml:space="preserve">Microfluidic Droplet-Storage Array.</w:t>
      </w:r>
      <w:r>
        <w:t xml:space="preserve">”</w:t>
      </w:r>
      <w:r>
        <w:t xml:space="preserve"> </w:t>
      </w:r>
      <w:r>
        <w:rPr>
          <w:iCs/>
          <w:i/>
        </w:rPr>
        <w:t xml:space="preserve">Micromachines</w:t>
      </w:r>
      <w:r>
        <w:t xml:space="preserve">, 11(6), 608.</w:t>
      </w:r>
    </w:p>
    <w:p>
      <w:r>
        <w:pict>
          <v:rect style="width:0;height:1.5pt" o:hralign="center" o:hrstd="t" o:hr="t"/>
        </w:pict>
      </w:r>
    </w:p>
    <w:bookmarkEnd w:id="22"/>
    <w:bookmarkStart w:id="23" w:name="Xf395fbe9c4415230eea6db91bacd012eacef7dd"/>
    <w:p>
      <w:pPr>
        <w:pStyle w:val="Heading3"/>
      </w:pPr>
      <w:r>
        <w:t xml:space="preserve">1.3 Electrochemical DNA Synthesis (Pre-Commercial, 2-5 Years to Maturity)</w:t>
      </w:r>
    </w:p>
    <w:p>
      <w:pPr>
        <w:pStyle w:val="FirstParagraph"/>
      </w:pPr>
      <w:r>
        <w:rPr>
          <w:bCs/>
          <w:b/>
        </w:rPr>
        <w:t xml:space="preserve">Technical Approach:</w:t>
      </w:r>
      <w:r>
        <w:t xml:space="preserve"> </w:t>
      </w:r>
      <w:r>
        <w:t xml:space="preserve">- Uses electric current to drive nucleotide incorporation;</w:t>
      </w:r>
      <w:r>
        <w:t xml:space="preserve"> </w:t>
      </w:r>
      <w:r>
        <w:rPr>
          <w:bCs/>
          <w:b/>
        </w:rPr>
        <w:t xml:space="preserve">not phosphoramidite chemistry</w:t>
      </w:r>
      <w:r>
        <w:t xml:space="preserve"> </w:t>
      </w:r>
      <w:r>
        <w:t xml:space="preserve">- Potential for lower cost, no hazardous reagent handling, portable setup</w:t>
      </w:r>
    </w:p>
    <w:p>
      <w:pPr>
        <w:pStyle w:val="BodyText"/>
      </w:pPr>
      <w:r>
        <w:rPr>
          <w:bCs/>
          <w:b/>
        </w:rPr>
        <w:t xml:space="preserve">Recent Publications:</w:t>
      </w:r>
      <w:r>
        <w:t xml:space="preserve"> </w:t>
      </w:r>
      <w:r>
        <w:t xml:space="preserve">-</w:t>
      </w:r>
      <w:r>
        <w:t xml:space="preserve"> </w:t>
      </w:r>
      <w:r>
        <w:t xml:space="preserve">Electrochemical DNA synthesis and sequencing on a single electrode with scalability for integrated data storage: the synthesis of DNA is based on phosphoramidite chemistry and electrochemical deprotection, with sequencing relying on charge redistribution originated from polymerase-catalyzed primer extension</w:t>
      </w:r>
      <w:r>
        <w:t xml:space="preserve"> </w:t>
      </w:r>
      <w:r>
        <w:t xml:space="preserve">- Wang, Y., et al. (2021).</w:t>
      </w:r>
      <w:r>
        <w:t xml:space="preserve"> </w:t>
      </w:r>
      <w:r>
        <w:t xml:space="preserve">“</w:t>
      </w:r>
      <w:r>
        <w:t xml:space="preserve">Electrochemical DNA synthesis and sequencing on a single electrode with scalability for integrated data storage.</w:t>
      </w:r>
      <w:r>
        <w:t xml:space="preserve">”</w:t>
      </w:r>
      <w:r>
        <w:t xml:space="preserve"> </w:t>
      </w:r>
      <w:r>
        <w:rPr>
          <w:iCs/>
          <w:i/>
        </w:rPr>
        <w:t xml:space="preserve">Science Advances</w:t>
      </w:r>
      <w:r>
        <w:t xml:space="preserve">, 7(44), eabk0100.</w:t>
      </w:r>
    </w:p>
    <w:p>
      <w:pPr>
        <w:pStyle w:val="BodyText"/>
      </w:pPr>
      <w:r>
        <w:rPr>
          <w:bCs/>
          <w:b/>
        </w:rPr>
        <w:t xml:space="preserve">Limitations:</w:t>
      </w:r>
      <w:r>
        <w:t xml:space="preserve"> </w:t>
      </w:r>
      <w:r>
        <w:t xml:space="preserve">-</w:t>
      </w:r>
      <w:r>
        <w:t xml:space="preserve"> </w:t>
      </w:r>
      <w:r>
        <w:t xml:space="preserve">For planar glass substrates, electrochemical deblocking methods face challenges with incomplete deblocking and losses due to depurination during electrochemically induced acid deprotection</w:t>
      </w:r>
      <w:r>
        <w:t xml:space="preserve"> </w:t>
      </w:r>
      <w:r>
        <w:t xml:space="preserve">- Status: Pre-commercial; ElectroWayve Sciences and others still in R&amp;D</w:t>
      </w:r>
    </w:p>
    <w:p>
      <w:r>
        <w:pict>
          <v:rect style="width:0;height:1.5pt" o:hralign="center" o:hrstd="t" o:hr="t"/>
        </w:pict>
      </w:r>
    </w:p>
    <w:bookmarkEnd w:id="23"/>
    <w:bookmarkStart w:id="24" w:name="X1a3f271c97280dab7c4540d70047448b183efab"/>
    <w:p>
      <w:pPr>
        <w:pStyle w:val="Heading3"/>
      </w:pPr>
      <w:r>
        <w:t xml:space="preserve">1.4 Enzymatic DNA Synthesis (Emerging Commercial)</w:t>
      </w:r>
    </w:p>
    <w:p>
      <w:pPr>
        <w:pStyle w:val="FirstParagraph"/>
      </w:pPr>
      <w:r>
        <w:rPr>
          <w:bCs/>
          <w:b/>
        </w:rPr>
        <w:t xml:space="preserve">Market Status:</w:t>
      </w:r>
      <w:r>
        <w:t xml:space="preserve"> </w:t>
      </w:r>
      <w:r>
        <w:t xml:space="preserve">-</w:t>
      </w:r>
      <w:r>
        <w:t xml:space="preserve"> </w:t>
      </w:r>
      <w:r>
        <w:t xml:space="preserve">The global enzymatic DNA synthesis market size was valued at USD 296.35 million in 2024 and is anticipated to reach around USD 3,159.16 million by 2034, growing at a CAGR of approximately 26.5%</w:t>
      </w:r>
      <w:r>
        <w:t xml:space="preserve"> </w:t>
      </w:r>
      <w:r>
        <w:t xml:space="preserve">-</w:t>
      </w:r>
      <w:r>
        <w:t xml:space="preserve"> </w:t>
      </w:r>
      <w:r>
        <w:t xml:space="preserve">By technology, polymerase-based platforms led with 44.25% of the enzymatic DNA synthesis market share in 2024, while TdT systems are projected to climb at a 30.42% CAGR through 2030</w:t>
      </w:r>
    </w:p>
    <w:p>
      <w:pPr>
        <w:pStyle w:val="BodyText"/>
      </w:pPr>
      <w:r>
        <w:rPr>
          <w:bCs/>
          <w:b/>
        </w:rPr>
        <w:t xml:space="preserve">Recent Advances (2024-2025):</w:t>
      </w:r>
      <w:r>
        <w:t xml:space="preserve"> </w:t>
      </w:r>
      <w:r>
        <w:t xml:space="preserve">-</w:t>
      </w:r>
      <w:r>
        <w:t xml:space="preserve"> </w:t>
      </w:r>
      <w:r>
        <w:t xml:space="preserve">Evaluation of enzymatically synthesized DNA for gene assembly: oligos produced using a benchtop EDS instrument were available in half the time of commercially produced oligonucleotides and were sufficient to assemble functional GFP sequences without producing hazardous organic chemical waste</w:t>
      </w:r>
      <w:r>
        <w:t xml:space="preserve"> </w:t>
      </w:r>
      <w:r>
        <w:t xml:space="preserve">-</w:t>
      </w:r>
      <w:r>
        <w:t xml:space="preserve"> </w:t>
      </w:r>
      <w:r>
        <w:t xml:space="preserve">Molecular Assemblies, Inc. launched a partnering program to license its Fully Enzymatic Synthesis (FES) technology for on-site DNA production in May 2024</w:t>
      </w:r>
    </w:p>
    <w:p>
      <w:pPr>
        <w:pStyle w:val="BodyText"/>
      </w:pPr>
      <w:r>
        <w:rPr>
          <w:bCs/>
          <w:b/>
        </w:rPr>
        <w:t xml:space="preserve">DIY Accessibility Assessment:</w:t>
      </w:r>
      <w:r>
        <w:t xml:space="preserve"> </w:t>
      </w:r>
      <w:r>
        <w:t xml:space="preserve">- Moderate complexity (biochemistry knowledge required, but no electrical engineering)</w:t>
      </w:r>
      <w:r>
        <w:t xml:space="preserve"> </w:t>
      </w:r>
      <w:r>
        <w:t xml:space="preserve">-</w:t>
      </w:r>
      <w:r>
        <w:t xml:space="preserve"> </w:t>
      </w:r>
      <w:r>
        <w:rPr>
          <w:bCs/>
          <w:b/>
        </w:rPr>
        <w:t xml:space="preserve">Key advantage for DIY:</w:t>
      </w:r>
      <w:r>
        <w:t xml:space="preserve"> </w:t>
      </w:r>
      <w:r>
        <w:t xml:space="preserve">Uses commodity chemicals; avoids phosphoramidite toxicity concerns</w:t>
      </w:r>
      <w:r>
        <w:t xml:space="preserve"> </w:t>
      </w:r>
      <w:r>
        <w:t xml:space="preserve">-</w:t>
      </w:r>
      <w:r>
        <w:t xml:space="preserve"> </w:t>
      </w:r>
      <w:r>
        <w:rPr>
          <w:bCs/>
          <w:b/>
        </w:rPr>
        <w:t xml:space="preserve">Key disadvantage:</w:t>
      </w:r>
      <w:r>
        <w:t xml:space="preserve"> </w:t>
      </w:r>
      <w:r>
        <w:t xml:space="preserve">Requires temperature control, specialized enzymes (though decreasing in cost)</w:t>
      </w:r>
    </w:p>
    <w:p>
      <w:r>
        <w:pict>
          <v:rect style="width:0;height:1.5pt" o:hralign="center" o:hrstd="t" o:hr="t"/>
        </w:pict>
      </w:r>
    </w:p>
    <w:bookmarkEnd w:id="24"/>
    <w:bookmarkEnd w:id="25"/>
    <w:bookmarkStart w:id="29" w:name="X3c8e3d1491461773a326f05b1cb2b73c7d00143"/>
    <w:p>
      <w:pPr>
        <w:pStyle w:val="Heading2"/>
      </w:pPr>
      <w:r>
        <w:t xml:space="preserve">PART 2: SYNTHESIS SCREENING POLICY LANDSCAPE (2024-2026)</w:t>
      </w:r>
    </w:p>
    <w:bookmarkStart w:id="26" w:name="X90a5e43767dcc6f92b87c9519defbb48b72f7b9"/>
    <w:p>
      <w:pPr>
        <w:pStyle w:val="Heading3"/>
      </w:pPr>
      <w:r>
        <w:t xml:space="preserve">2.1 OSTP Framework for Nucleic Acid Synthesis Screening (April 2024)</w:t>
      </w:r>
    </w:p>
    <w:p>
      <w:pPr>
        <w:pStyle w:val="FirstParagraph"/>
      </w:pPr>
      <w:r>
        <w:rPr>
          <w:bCs/>
          <w:b/>
        </w:rPr>
        <w:t xml:space="preserve">Policy Timeline:</w:t>
      </w:r>
      <w:r>
        <w:t xml:space="preserve"> </w:t>
      </w:r>
      <w:r>
        <w:t xml:space="preserve">-</w:t>
      </w:r>
      <w:r>
        <w:t xml:space="preserve"> </w:t>
      </w:r>
      <w:r>
        <w:t xml:space="preserve">The White House Office of Science and Technology Policy (OSTP) released the Framework for Nucleic Acid Synthesis Screening on April 29, 2024, establishing requirements – as a condition of receiving U.S. governmental life sciences research funding – that synthetic nucleic acids, and benchtop devices capable of synthesizing them, are only procured from providers and manufacturers that comply with the requirements of the Framework</w:t>
      </w:r>
    </w:p>
    <w:p>
      <w:pPr>
        <w:pStyle w:val="BodyText"/>
      </w:pPr>
      <w:r>
        <w:rPr>
          <w:bCs/>
          <w:b/>
        </w:rPr>
        <w:t xml:space="preserve">Implementation Dates:</w:t>
      </w:r>
      <w:r>
        <w:t xml:space="preserve"> </w:t>
      </w:r>
      <w:r>
        <w:t xml:space="preserve">- April 26, 2025: Screening window at 200+ base pairs</w:t>
      </w:r>
      <w:r>
        <w:t xml:space="preserve"> </w:t>
      </w:r>
      <w:r>
        <w:t xml:space="preserve">-</w:t>
      </w:r>
      <w:r>
        <w:t xml:space="preserve"> </w:t>
      </w:r>
      <w:r>
        <w:t xml:space="preserve">Beginning October 13, 2025, the screening window was decreased to 50 nucleotides</w:t>
      </w:r>
    </w:p>
    <w:p>
      <w:pPr>
        <w:pStyle w:val="BodyText"/>
      </w:pPr>
      <w:r>
        <w:rPr>
          <w:bCs/>
          <w:b/>
        </w:rPr>
        <w:t xml:space="preserve">Key Requirements:</w:t>
      </w:r>
      <w:r>
        <w:t xml:space="preserve"> </w:t>
      </w:r>
      <w:r>
        <w:t xml:space="preserve">-</w:t>
      </w:r>
      <w:r>
        <w:t xml:space="preserve"> </w:t>
      </w:r>
      <w:r>
        <w:t xml:space="preserve">At minimum, DNA or RNA of 200 nucleotides or longer should be screened; comparison against Regulated Pathogen Database (RPD: U.S. Select Agents, Australia Group, EU dual-use lists)</w:t>
      </w:r>
      <w:r>
        <w:t xml:space="preserve"> </w:t>
      </w:r>
      <w:r>
        <w:t xml:space="preserve">- Six-frame translation for codon-optimized evasion detection</w:t>
      </w:r>
      <w:r>
        <w:t xml:space="preserve"> </w:t>
      </w:r>
      <w:r>
        <w:t xml:space="preserve">- Customer identity verification and legitimacy assessment</w:t>
      </w:r>
    </w:p>
    <w:p>
      <w:pPr>
        <w:pStyle w:val="BodyText"/>
      </w:pPr>
      <w:r>
        <w:rPr>
          <w:bCs/>
          <w:b/>
        </w:rPr>
        <w:t xml:space="preserve">Recent Policy Pause (May 2025):</w:t>
      </w:r>
      <w:r>
        <w:t xml:space="preserve"> </w:t>
      </w:r>
      <w:r>
        <w:t xml:space="preserve">-</w:t>
      </w:r>
      <w:r>
        <w:t xml:space="preserve"> </w:t>
      </w:r>
      <w:r>
        <w:t xml:space="preserve">An Executive Order released on May 5, 2025 paused implementation of the Framework for Nucleic Acid Synthesis Screening; the federal government is awaiting new guidance within 90 days to replace the 2024 Framework</w:t>
      </w:r>
      <w:r>
        <w:t xml:space="preserve"> </w:t>
      </w:r>
      <w:r>
        <w:t xml:space="preserve">- As of May 2026: Framework under revision; new guidance TBD</w:t>
      </w:r>
    </w:p>
    <w:p>
      <w:pPr>
        <w:pStyle w:val="BodyText"/>
      </w:pPr>
      <w:r>
        <w:rPr>
          <w:bCs/>
          <w:b/>
        </w:rPr>
        <w:t xml:space="preserve">Regulatory Citation:</w:t>
      </w:r>
      <w:r>
        <w:t xml:space="preserve"> </w:t>
      </w:r>
      <w:r>
        <w:t xml:space="preserve">- https://aspr.hhs.gov/S3/Pages/OSTP-Framework-for-Nucleic-Acid-Synthesis-Screening.aspx</w:t>
      </w:r>
      <w:r>
        <w:t xml:space="preserve"> </w:t>
      </w:r>
      <w:r>
        <w:t xml:space="preserve">- OSTP Framework PDF (Sept 2024): https://aspr.hhs.gov/S3/Documents/OSTP-Nucleic-Acid-Synthesis-Screening-Framework-508.pdf</w:t>
      </w:r>
    </w:p>
    <w:p>
      <w:r>
        <w:pict>
          <v:rect style="width:0;height:1.5pt" o:hralign="center" o:hrstd="t" o:hr="t"/>
        </w:pict>
      </w:r>
    </w:p>
    <w:bookmarkEnd w:id="26"/>
    <w:bookmarkStart w:id="27" w:name="Xb2dbcf0a71f1107870c77153b4d120d55b97379"/>
    <w:p>
      <w:pPr>
        <w:pStyle w:val="Heading3"/>
      </w:pPr>
      <w:r>
        <w:t xml:space="preserve">2.2 IGSC Harmonized Screening Protocol (v3.0, September 2024)</w:t>
      </w:r>
    </w:p>
    <w:p>
      <w:pPr>
        <w:pStyle w:val="FirstParagraph"/>
      </w:pPr>
      <w:r>
        <w:rPr>
          <w:bCs/>
          <w:b/>
        </w:rPr>
        <w:t xml:space="preserve">Background:</w:t>
      </w:r>
      <w:r>
        <w:t xml:space="preserve"> </w:t>
      </w:r>
      <w:r>
        <w:t xml:space="preserve">-</w:t>
      </w:r>
      <w:r>
        <w:t xml:space="preserve"> </w:t>
      </w:r>
      <w:r>
        <w:t xml:space="preserve">The IGSC (formed in 2009) comprises leading commercial DNA synthesis companies; member companies voluntarily commit to: Sequence screening comparing all double-stranded DNA orders against a Regulated Pathogen Database derived from U.S. Federal Select Agents and Toxins List and screening includes checking all six reading frames (translated to amino acid sequences) to catch codon-optimized sequences</w:t>
      </w:r>
    </w:p>
    <w:p>
      <w:pPr>
        <w:pStyle w:val="BodyText"/>
      </w:pPr>
      <w:r>
        <w:rPr>
          <w:bCs/>
          <w:b/>
        </w:rPr>
        <w:t xml:space="preserve">Current Protocol Scope:</w:t>
      </w:r>
      <w:r>
        <w:t xml:space="preserve"> </w:t>
      </w:r>
      <w:r>
        <w:t xml:space="preserve">-</w:t>
      </w:r>
      <w:r>
        <w:t xml:space="preserve"> </w:t>
      </w:r>
      <w:r>
        <w:t xml:space="preserve">200+ bp orders screened against Regulated Pathogen Database (RPD: U.S. Select Agents, Australia Group, EU dual-use lists); Six-frame translation detects codon-optimized evasion attempts; Customer screening includes identity verification, institutional affiliation checks, written justification for select agent sequences; 8-year retention of sequences and customer data</w:t>
      </w:r>
    </w:p>
    <w:p>
      <w:pPr>
        <w:pStyle w:val="BodyText"/>
      </w:pPr>
      <w:r>
        <w:rPr>
          <w:bCs/>
          <w:b/>
        </w:rPr>
        <w:t xml:space="preserve">IGSC Members (Major Synthesis Providers):</w:t>
      </w:r>
      <w:r>
        <w:t xml:space="preserve"> </w:t>
      </w:r>
      <w:r>
        <w:t xml:space="preserve">- Thermo Fisher Scientific, Integrated DNA Technologies, GenScript Biotech, Twist Bioscience, Eurofins Scientific, and others</w:t>
      </w:r>
    </w:p>
    <w:p>
      <w:r>
        <w:pict>
          <v:rect style="width:0;height:1.5pt" o:hralign="center" o:hrstd="t" o:hr="t"/>
        </w:pict>
      </w:r>
    </w:p>
    <w:bookmarkEnd w:id="27"/>
    <w:bookmarkStart w:id="28" w:name="X66129cbee9a173ef380a0871f4d932b78fcffd2"/>
    <w:p>
      <w:pPr>
        <w:pStyle w:val="Heading3"/>
      </w:pPr>
      <w:r>
        <w:t xml:space="preserve">2.3 Recent Biosecurity Research: AI-Designed Protein Evasion (October 2025)</w:t>
      </w:r>
    </w:p>
    <w:p>
      <w:pPr>
        <w:pStyle w:val="FirstParagraph"/>
      </w:pPr>
      <w:r>
        <w:rPr>
          <w:bCs/>
          <w:b/>
        </w:rPr>
        <w:t xml:space="preserve">The Paraphrase Project (Wittmann et al., 2025):</w:t>
      </w:r>
    </w:p>
    <w:p>
      <w:pPr>
        <w:pStyle w:val="BodyText"/>
      </w:pPr>
      <w:r>
        <w:rPr>
          <w:bCs/>
          <w:b/>
        </w:rPr>
        <w:t xml:space="preserve">Primary Reference:</w:t>
      </w:r>
      <w:r>
        <w:t xml:space="preserve"> </w:t>
      </w:r>
      <w:r>
        <w:t xml:space="preserve">-</w:t>
      </w:r>
      <w:r>
        <w:t xml:space="preserve"> </w:t>
      </w:r>
      <w:r>
        <w:t xml:space="preserve">Wittmann, B.J., et al. (2025).</w:t>
      </w:r>
      <w:r>
        <w:t xml:space="preserve"> </w:t>
      </w:r>
      <w:r>
        <w:t xml:space="preserve">“</w:t>
      </w:r>
      <w:r>
        <w:t xml:space="preserve">Strengthening nucleic acid biosecurity screening against generative protein design tools.</w:t>
      </w:r>
      <w:r>
        <w:t xml:space="preserve">”</w:t>
      </w:r>
      <w:r>
        <w:t xml:space="preserve"> </w:t>
      </w:r>
      <w:r>
        <w:rPr>
          <w:iCs/>
          <w:i/>
        </w:rPr>
        <w:t xml:space="preserve">Science</w:t>
      </w:r>
      <w:r>
        <w:t xml:space="preserve">, 390(6641). https://doi.org/10.1126/science.adu8578</w:t>
      </w:r>
    </w:p>
    <w:p>
      <w:pPr>
        <w:pStyle w:val="BodyText"/>
      </w:pPr>
      <w:r>
        <w:rPr>
          <w:bCs/>
          <w:b/>
        </w:rPr>
        <w:t xml:space="preserve">Key Findings:</w:t>
      </w:r>
      <w:r>
        <w:t xml:space="preserve"> </w:t>
      </w:r>
      <w:r>
        <w:t xml:space="preserve">-</w:t>
      </w:r>
      <w:r>
        <w:t xml:space="preserve"> </w:t>
      </w:r>
      <w:r>
        <w:t xml:space="preserve">AI protein design tools (EvoDiff) could redesign known toxins to evade BLAST-based screening while preserving predicted structure and function; Pre-patch, one screening tool flagged only 23% of AI-generated variants; Working with IGSC and major synthesis providers (Twist Bioscience, IDT) over 10 months, patches were deployed globally; Post-patch detection improved to 72% average, including 97% of sequences most likely to generate functional toxins; Approximately 3% of AI-generated variants believed to retain functionality still escape detection</w:t>
      </w:r>
    </w:p>
    <w:p>
      <w:pPr>
        <w:pStyle w:val="BodyText"/>
      </w:pPr>
      <w:r>
        <w:rPr>
          <w:bCs/>
          <w:b/>
        </w:rPr>
        <w:t xml:space="preserve">Implications for Screening:</w:t>
      </w:r>
      <w:r>
        <w:t xml:space="preserve"> </w:t>
      </w:r>
      <w:r>
        <w:t xml:space="preserve">-</w:t>
      </w:r>
      <w:r>
        <w:t xml:space="preserve"> </w:t>
      </w:r>
      <w:r>
        <w:t xml:space="preserve">Current BSS (biosecurity screening software) workflows, almost all of which depend on similarity searches against databases of natural sequences to identify SOCs, will become less robust in a future of increasingly sequence-diverse AI-generated orders; Functional proteins designed using AI may look nothing like those found in nature, thus reducing the strength of current best match screening approaches</w:t>
      </w:r>
    </w:p>
    <w:p>
      <w:pPr>
        <w:pStyle w:val="BodyText"/>
      </w:pPr>
      <w:r>
        <w:rPr>
          <w:bCs/>
          <w:b/>
        </w:rPr>
        <w:t xml:space="preserve">Policy Response:</w:t>
      </w:r>
      <w:r>
        <w:t xml:space="preserve"> </w:t>
      </w:r>
      <w:r>
        <w:t xml:space="preserve">-</w:t>
      </w:r>
      <w:r>
        <w:t xml:space="preserve"> </w:t>
      </w:r>
      <w:r>
        <w:t xml:space="preserve">After discovering the vulnerability, researchers used three open-source generative protein models to make 76,080 synthetic genetic sequences likely to code for mimics of 72 natural</w:t>
      </w:r>
      <w:r>
        <w:t xml:space="preserve"> </w:t>
      </w:r>
      <w:r>
        <w:t xml:space="preserve">“</w:t>
      </w:r>
      <w:r>
        <w:t xml:space="preserve">proteins of concern</w:t>
      </w:r>
      <w:r>
        <w:t xml:space="preserve">”</w:t>
      </w:r>
      <w:r>
        <w:t xml:space="preserve">; they worked with the International Gene Synthesis Consortium and alerted biosecurity experts in federal agencies, then developed patches before public disclosure</w:t>
      </w:r>
    </w:p>
    <w:p>
      <w:pPr>
        <w:pStyle w:val="BodyText"/>
      </w:pPr>
      <w:r>
        <w:rPr>
          <w:bCs/>
          <w:b/>
        </w:rPr>
        <w:t xml:space="preserve">Independent Validation Framework:</w:t>
      </w:r>
      <w:r>
        <w:t xml:space="preserve"> </w:t>
      </w:r>
      <w:r>
        <w:t xml:space="preserve">-</w:t>
      </w:r>
      <w:r>
        <w:t xml:space="preserve"> </w:t>
      </w:r>
      <w:r>
        <w:t xml:space="preserve">NIST inter-tool analysis: A blinded 999-fragment dataset compared six sequence-screening tools, reporting baseline performance above 95% sensitivity and 97% accuracy, with disagreements traced largely to differences in sequence-of-concern definitions or algorithmic methods</w:t>
      </w:r>
    </w:p>
    <w:p>
      <w:r>
        <w:pict>
          <v:rect style="width:0;height:1.5pt" o:hralign="center" o:hrstd="t" o:hr="t"/>
        </w:pict>
      </w:r>
    </w:p>
    <w:bookmarkEnd w:id="28"/>
    <w:bookmarkEnd w:id="29"/>
    <w:bookmarkStart w:id="33" w:name="Xfbf47c1d72b20fc35ad28706be39f84c4f02d62"/>
    <w:p>
      <w:pPr>
        <w:pStyle w:val="Heading2"/>
      </w:pPr>
      <w:r>
        <w:t xml:space="preserve">PART 3: SUPPLY CHAIN &amp; ACCESSIBILITY ANALYSIS</w:t>
      </w:r>
    </w:p>
    <w:bookmarkStart w:id="30" w:name="dna-synthesis-market-growth-2024-2035"/>
    <w:p>
      <w:pPr>
        <w:pStyle w:val="Heading3"/>
      </w:pPr>
      <w:r>
        <w:t xml:space="preserve">3.1 DNA Synthesis Market Growth (2024-2035)</w:t>
      </w:r>
    </w:p>
    <w:p>
      <w:pPr>
        <w:pStyle w:val="FirstParagraph"/>
      </w:pPr>
      <w:r>
        <w:rPr>
          <w:bCs/>
          <w:b/>
        </w:rPr>
        <w:t xml:space="preserve">Market Size Projections:</w:t>
      </w:r>
      <w:r>
        <w:t xml:space="preserve"> </w:t>
      </w:r>
      <w:r>
        <w:t xml:space="preserve">-</w:t>
      </w:r>
      <w:r>
        <w:t xml:space="preserve"> </w:t>
      </w:r>
      <w:r>
        <w:t xml:space="preserve">The global DNA synthesis market was valued at USD 2.5 billion in 2025; expected to grow from USD 2.9 billion in 2026 to USD 11.5 billion in 2035, at a CAGR of 16.3%</w:t>
      </w:r>
    </w:p>
    <w:p>
      <w:pPr>
        <w:pStyle w:val="BodyText"/>
      </w:pPr>
      <w:r>
        <w:rPr>
          <w:bCs/>
          <w:b/>
        </w:rPr>
        <w:t xml:space="preserve">Alternative Projection:</w:t>
      </w:r>
      <w:r>
        <w:t xml:space="preserve"> </w:t>
      </w:r>
      <w:r>
        <w:t xml:space="preserve">-</w:t>
      </w:r>
      <w:r>
        <w:t xml:space="preserve"> </w:t>
      </w:r>
      <w:r>
        <w:t xml:space="preserve">The global DNA synthesis market size is expected to increase USD 34.39 billion by 2035 from USD 5.93 billion in 2025; will register growth rate of 19.22% between 2026 to 2035</w:t>
      </w:r>
    </w:p>
    <w:p>
      <w:pPr>
        <w:pStyle w:val="BodyText"/>
      </w:pPr>
      <w:r>
        <w:rPr>
          <w:bCs/>
          <w:b/>
        </w:rPr>
        <w:t xml:space="preserve">Market Leadership:</w:t>
      </w:r>
      <w:r>
        <w:t xml:space="preserve"> </w:t>
      </w:r>
      <w:r>
        <w:t xml:space="preserve">-</w:t>
      </w:r>
      <w:r>
        <w:t xml:space="preserve"> </w:t>
      </w:r>
      <w:r>
        <w:t xml:space="preserve">Thermo Fisher Scientific led with over 15% market share in 2025; Top 5 players (Thermo Fisher, Integrated DNA Technologies, GenScript Biotech, Twist Bioscience, Eurofins Scientific) collectively held 48% market share</w:t>
      </w:r>
    </w:p>
    <w:p>
      <w:pPr>
        <w:pStyle w:val="BodyText"/>
      </w:pPr>
      <w:r>
        <w:rPr>
          <w:bCs/>
          <w:b/>
        </w:rPr>
        <w:t xml:space="preserve">Segment Growth:</w:t>
      </w:r>
      <w:r>
        <w:t xml:space="preserve"> </w:t>
      </w:r>
      <w:r>
        <w:t xml:space="preserve">-</w:t>
      </w:r>
      <w:r>
        <w:t xml:space="preserve"> </w:t>
      </w:r>
      <w:r>
        <w:t xml:space="preserve">Enzymatic DNA synthesis market is forecast to exceed USD 400 million by 2030 as therapeutic pipeline assets multiply; gene and cell therapy retained 36.73% of 2024 turnover</w:t>
      </w:r>
      <w:r>
        <w:t xml:space="preserve"> </w:t>
      </w:r>
      <w:r>
        <w:t xml:space="preserve">-</w:t>
      </w:r>
      <w:r>
        <w:t xml:space="preserve"> </w:t>
      </w:r>
      <w:r>
        <w:t xml:space="preserve">Benchtop DNA Synthesizers anticipated to lead the global DNA synthesizers market, accounting for the largest share of 67.5%, driven by growing demand for accessible, compact, and cost-effective DNA synthesis solutions</w:t>
      </w:r>
    </w:p>
    <w:p>
      <w:r>
        <w:pict>
          <v:rect style="width:0;height:1.5pt" o:hralign="center" o:hrstd="t" o:hr="t"/>
        </w:pict>
      </w:r>
    </w:p>
    <w:bookmarkEnd w:id="30"/>
    <w:bookmarkStart w:id="31" w:name="X77c02beb80b662684a4472adf34cc63b1b28af0"/>
    <w:p>
      <w:pPr>
        <w:pStyle w:val="Heading3"/>
      </w:pPr>
      <w:r>
        <w:t xml:space="preserve">3.2 Phosphoramidite Supply Chain (Critical Reagent)</w:t>
      </w:r>
    </w:p>
    <w:p>
      <w:pPr>
        <w:pStyle w:val="FirstParagraph"/>
      </w:pPr>
      <w:r>
        <w:rPr>
          <w:bCs/>
          <w:b/>
        </w:rPr>
        <w:t xml:space="preserve">Market Overview:</w:t>
      </w:r>
      <w:r>
        <w:t xml:space="preserve"> </w:t>
      </w:r>
      <w:r>
        <w:t xml:space="preserve">-</w:t>
      </w:r>
      <w:r>
        <w:t xml:space="preserve"> </w:t>
      </w:r>
      <w:r>
        <w:t xml:space="preserve">The global phosphoramidite market was valued at US$1.2 billion in 2024 and is expected to reach US$1.97 billion by 2030 growing at a CAGR of 7.7%</w:t>
      </w:r>
    </w:p>
    <w:p>
      <w:pPr>
        <w:pStyle w:val="BodyText"/>
      </w:pPr>
      <w:r>
        <w:rPr>
          <w:bCs/>
          <w:b/>
        </w:rPr>
        <w:t xml:space="preserve">Major Suppliers:</w:t>
      </w:r>
      <w:r>
        <w:t xml:space="preserve"> </w:t>
      </w:r>
      <w:r>
        <w:t xml:space="preserve">-</w:t>
      </w:r>
      <w:r>
        <w:t xml:space="preserve"> </w:t>
      </w:r>
      <w:r>
        <w:t xml:space="preserve">Major players include Glen Research, ChemGenes Corporation, Link Technologies Ltd., BioAutomation Corporation, Merck KGaA, Sigma-Aldrich (MilliporeSigma), LGC Biosearch Technologies, Thermo Fisher Scientific, Biosynthesis Inc., ATDBio Ltd., Genscript Biotech, Expedeon AG, Wuxi Donglin Sci &amp; Tech Development Co., and Bio-Synthesis Inc.</w:t>
      </w:r>
    </w:p>
    <w:p>
      <w:pPr>
        <w:pStyle w:val="BodyText"/>
      </w:pPr>
      <w:r>
        <w:rPr>
          <w:bCs/>
          <w:b/>
        </w:rPr>
        <w:t xml:space="preserve">Supply Concentration:</w:t>
      </w:r>
      <w:r>
        <w:t xml:space="preserve"> </w:t>
      </w:r>
      <w:r>
        <w:t xml:space="preserve">- North America leads global market (44.1% share in 2024)</w:t>
      </w:r>
      <w:r>
        <w:t xml:space="preserve"> </w:t>
      </w:r>
      <w:r>
        <w:t xml:space="preserve">-</w:t>
      </w:r>
      <w:r>
        <w:t xml:space="preserve"> </w:t>
      </w:r>
      <w:r>
        <w:t xml:space="preserve">Regional disparities in skills and infrastructure impede capacity to develop local phosphoramidite manufacturing facilities; most emerging countries lack large pools of trained organic chemists and chemical engineers with understanding of phosphoramidite chemistry</w:t>
      </w:r>
    </w:p>
    <w:p>
      <w:pPr>
        <w:pStyle w:val="BodyText"/>
      </w:pPr>
      <w:r>
        <w:rPr>
          <w:bCs/>
          <w:b/>
        </w:rPr>
        <w:t xml:space="preserve">Availability Assessment for DIY:</w:t>
      </w:r>
      <w:r>
        <w:t xml:space="preserve"> </w:t>
      </w:r>
      <w:r>
        <w:t xml:space="preserve">-</w:t>
      </w:r>
      <w:r>
        <w:t xml:space="preserve"> </w:t>
      </w:r>
      <w:r>
        <w:rPr>
          <w:bCs/>
          <w:b/>
        </w:rPr>
        <w:t xml:space="preserve">Commercial availability:</w:t>
      </w:r>
      <w:r>
        <w:t xml:space="preserve"> </w:t>
      </w:r>
      <w:r>
        <w:t xml:space="preserve">All four standard phosphoramidites (dA, dC, dG, dT) continuously available through Sigma-Aldrich, ChemGenes, and others</w:t>
      </w:r>
      <w:r>
        <w:t xml:space="preserve"> </w:t>
      </w:r>
      <w:r>
        <w:t xml:space="preserve">-</w:t>
      </w:r>
      <w:r>
        <w:t xml:space="preserve"> </w:t>
      </w:r>
      <w:r>
        <w:rPr>
          <w:bCs/>
          <w:b/>
        </w:rPr>
        <w:t xml:space="preserve">Cost trend:</w:t>
      </w:r>
      <w:r>
        <w:t xml:space="preserve"> </w:t>
      </w:r>
      <w:r>
        <w:t xml:space="preserve">Growing market (+7.2% CAGR) suggests decreasing per-unit cost over time</w:t>
      </w:r>
      <w:r>
        <w:t xml:space="preserve"> </w:t>
      </w:r>
      <w:r>
        <w:t xml:space="preserve">-</w:t>
      </w:r>
      <w:r>
        <w:t xml:space="preserve"> </w:t>
      </w:r>
      <w:r>
        <w:rPr>
          <w:bCs/>
          <w:b/>
        </w:rPr>
        <w:t xml:space="preserve">Regulatory status:</w:t>
      </w:r>
      <w:r>
        <w:t xml:space="preserve"> </w:t>
      </w:r>
      <w:r>
        <w:t xml:space="preserve">Unlike some solvents, phosphoramidites themselves are not restricted; can be ordered by academic/research institutions</w:t>
      </w:r>
    </w:p>
    <w:p>
      <w:pPr>
        <w:pStyle w:val="BodyText"/>
      </w:pPr>
      <w:r>
        <w:rPr>
          <w:bCs/>
          <w:b/>
        </w:rPr>
        <w:t xml:space="preserve">Substitution Options:</w:t>
      </w:r>
      <w:r>
        <w:t xml:space="preserve"> </w:t>
      </w:r>
      <w:r>
        <w:t xml:space="preserve">-</w:t>
      </w:r>
      <w:r>
        <w:t xml:space="preserve"> </w:t>
      </w:r>
      <w:r>
        <w:t xml:space="preserve">On-demand synthesis of phosphoramidites from their corresponding alcohols is now possible with short reaction times, near-quantitative yields and without purification before submission to automated oligonucleotide synthesis</w:t>
      </w:r>
      <w:r>
        <w:t xml:space="preserve"> </w:t>
      </w:r>
      <w:r>
        <w:t xml:space="preserve">- Vision: Direct integration into DNA synthesizers, omitting manual synthesis and storage of phosphoramidites</w:t>
      </w:r>
    </w:p>
    <w:p>
      <w:r>
        <w:pict>
          <v:rect style="width:0;height:1.5pt" o:hralign="center" o:hrstd="t" o:hr="t"/>
        </w:pict>
      </w:r>
    </w:p>
    <w:bookmarkEnd w:id="31"/>
    <w:bookmarkStart w:id="32" w:name="X6091daf7a17a7693fcc7127683338e20e60efbb"/>
    <w:p>
      <w:pPr>
        <w:pStyle w:val="Heading3"/>
      </w:pPr>
      <w:r>
        <w:t xml:space="preserve">3.3 Solvent Sourcing: Acetonitrile vs. Propylene Carbonate</w:t>
      </w:r>
    </w:p>
    <w:p>
      <w:pPr>
        <w:pStyle w:val="FirstParagraph"/>
      </w:pPr>
      <w:r>
        <w:rPr>
          <w:bCs/>
          <w:b/>
        </w:rPr>
        <w:t xml:space="preserve">Traditional Bottleneck (Acetonitrile):</w:t>
      </w:r>
      <w:r>
        <w:t xml:space="preserve"> </w:t>
      </w:r>
      <w:r>
        <w:t xml:space="preserve">- Tightly controlled in many jurisdictions as a precursor chemical</w:t>
      </w:r>
      <w:r>
        <w:t xml:space="preserve"> </w:t>
      </w:r>
      <w:r>
        <w:t xml:space="preserve">- Subject to export controls and purchase tracking</w:t>
      </w:r>
      <w:r>
        <w:t xml:space="preserve"> </w:t>
      </w:r>
      <w:r>
        <w:t xml:space="preserve">- Identified as a key supply chain chokepoint in synthesis screening literature</w:t>
      </w:r>
    </w:p>
    <w:p>
      <w:pPr>
        <w:pStyle w:val="BodyText"/>
      </w:pPr>
      <w:r>
        <w:rPr>
          <w:bCs/>
          <w:b/>
        </w:rPr>
        <w:t xml:space="preserve">OpenIDS Innovation (Propylene Carbonate):</w:t>
      </w:r>
      <w:r>
        <w:t xml:space="preserve"> </w:t>
      </w:r>
      <w:r>
        <w:t xml:space="preserve">-</w:t>
      </w:r>
      <w:r>
        <w:t xml:space="preserve"> </w:t>
      </w:r>
      <w:r>
        <w:t xml:space="preserve">Propylene carbonate (PC) achieves coupling efficiency of 94–98% for inkjet oligonucleotide synthesis</w:t>
      </w:r>
      <w:r>
        <w:t xml:space="preserve"> </w:t>
      </w:r>
      <w:r>
        <w:t xml:space="preserve">-</w:t>
      </w:r>
      <w:r>
        <w:t xml:space="preserve"> </w:t>
      </w:r>
      <w:r>
        <w:rPr>
          <w:bCs/>
          <w:b/>
        </w:rPr>
        <w:t xml:space="preserve">Status:</w:t>
      </w:r>
      <w:r>
        <w:t xml:space="preserve"> </w:t>
      </w:r>
      <w:r>
        <w:t xml:space="preserve">Food additive (GRAS - generally recognized as safe) and industrial solvent</w:t>
      </w:r>
      <w:r>
        <w:t xml:space="preserve"> </w:t>
      </w:r>
      <w:r>
        <w:t xml:space="preserve">-</w:t>
      </w:r>
      <w:r>
        <w:t xml:space="preserve"> </w:t>
      </w:r>
      <w:r>
        <w:rPr>
          <w:bCs/>
          <w:b/>
        </w:rPr>
        <w:t xml:space="preserve">Regulation:</w:t>
      </w:r>
      <w:r>
        <w:t xml:space="preserve"> </w:t>
      </w:r>
      <w:r>
        <w:t xml:space="preserve">Completely unregulated; can be purchased without licensing or tracking</w:t>
      </w:r>
      <w:r>
        <w:t xml:space="preserve"> </w:t>
      </w:r>
      <w:r>
        <w:t xml:space="preserve">-</w:t>
      </w:r>
      <w:r>
        <w:t xml:space="preserve"> </w:t>
      </w:r>
      <w:r>
        <w:rPr>
          <w:bCs/>
          <w:b/>
        </w:rPr>
        <w:t xml:space="preserve">Availability:</w:t>
      </w:r>
      <w:r>
        <w:t xml:space="preserve"> </w:t>
      </w:r>
      <w:r>
        <w:t xml:space="preserve">Commodity chemical; sourced from thousands of suppliers globally</w:t>
      </w:r>
    </w:p>
    <w:p>
      <w:pPr>
        <w:pStyle w:val="BodyText"/>
      </w:pPr>
      <w:r>
        <w:rPr>
          <w:bCs/>
          <w:b/>
        </w:rPr>
        <w:t xml:space="preserve">Biosecurity Implication:</w:t>
      </w:r>
      <w:r>
        <w:t xml:space="preserve"> </w:t>
      </w:r>
      <w:r>
        <w:t xml:space="preserve">This solvent substitution</w:t>
      </w:r>
      <w:r>
        <w:t xml:space="preserve"> </w:t>
      </w:r>
      <w:r>
        <w:rPr>
          <w:bCs/>
          <w:b/>
        </w:rPr>
        <w:t xml:space="preserve">removes a major supply chain chokepoint</w:t>
      </w:r>
      <w:r>
        <w:t xml:space="preserve"> </w:t>
      </w:r>
      <w:r>
        <w:t xml:space="preserve">for DIY synthesis, making OpenIDS substantially more accessible than previous systems.</w:t>
      </w:r>
    </w:p>
    <w:p>
      <w:r>
        <w:pict>
          <v:rect style="width:0;height:1.5pt" o:hralign="center" o:hrstd="t" o:hr="t"/>
        </w:pict>
      </w:r>
    </w:p>
    <w:bookmarkEnd w:id="32"/>
    <w:bookmarkEnd w:id="33"/>
    <w:bookmarkStart w:id="36" w:name="X7b0d0f66b0ead6b74e982375d5e8ab87962fd63"/>
    <w:p>
      <w:pPr>
        <w:pStyle w:val="Heading2"/>
      </w:pPr>
      <w:r>
        <w:t xml:space="preserve">PART 4: DIY BIOTECH COMMUNITY &amp; ACCESSIBILITY TRENDS</w:t>
      </w:r>
    </w:p>
    <w:bookmarkStart w:id="34" w:name="X325a7ee00a948976d8e8286d2a66014fa0d7d8f"/>
    <w:p>
      <w:pPr>
        <w:pStyle w:val="Heading3"/>
      </w:pPr>
      <w:r>
        <w:t xml:space="preserve">4.1 BioCurious and Community Biohacker Spaces</w:t>
      </w:r>
    </w:p>
    <w:p>
      <w:pPr>
        <w:pStyle w:val="FirstParagraph"/>
      </w:pPr>
      <w:r>
        <w:rPr>
          <w:bCs/>
          <w:b/>
        </w:rPr>
        <w:t xml:space="preserve">Landscape:</w:t>
      </w:r>
      <w:r>
        <w:t xml:space="preserve"> </w:t>
      </w:r>
      <w:r>
        <w:t xml:space="preserve">-</w:t>
      </w:r>
      <w:r>
        <w:t xml:space="preserve"> </w:t>
      </w:r>
      <w:r>
        <w:t xml:space="preserve">Biohacking labs like BioCurious, LA Biohackers, Genspace, Bioartlab, Biogarage, and many others have taken off around the world; DIYbio.org lists 44 biohacking labs in North America, 31 in Europe and 17 across Asia, South America and Oceania</w:t>
      </w:r>
    </w:p>
    <w:p>
      <w:pPr>
        <w:pStyle w:val="BodyText"/>
      </w:pPr>
      <w:r>
        <w:rPr>
          <w:bCs/>
          <w:b/>
        </w:rPr>
        <w:t xml:space="preserve">BioCurious (Silicon Valley) Model:</w:t>
      </w:r>
      <w:r>
        <w:t xml:space="preserve"> </w:t>
      </w:r>
      <w:r>
        <w:t xml:space="preserve">-</w:t>
      </w:r>
      <w:r>
        <w:t xml:space="preserve"> </w:t>
      </w:r>
      <w:r>
        <w:t xml:space="preserve">A 2600 square foot laboratory in Sunnyvale, CA that is open 7 days a week and lets anyone join for $100 a month; BioCurious is completely volunteer-run and member supported</w:t>
      </w:r>
      <w:r>
        <w:t xml:space="preserve"> </w:t>
      </w:r>
      <w:r>
        <w:t xml:space="preserve">- Founded: ~2011 (via Kickstarter)</w:t>
      </w:r>
      <w:r>
        <w:t xml:space="preserve"> </w:t>
      </w:r>
      <w:r>
        <w:t xml:space="preserve">-</w:t>
      </w:r>
      <w:r>
        <w:t xml:space="preserve"> </w:t>
      </w:r>
      <w:r>
        <w:rPr>
          <w:bCs/>
          <w:b/>
        </w:rPr>
        <w:t xml:space="preserve">Current status:</w:t>
      </w:r>
      <w:r>
        <w:t xml:space="preserve"> </w:t>
      </w:r>
      <w:r>
        <w:t xml:space="preserve">“</w:t>
      </w:r>
      <w:r>
        <w:t xml:space="preserve">The World’s Largest Community Lab Space for Biology</w:t>
      </w:r>
      <w:r>
        <w:t xml:space="preserve">”</w:t>
      </w:r>
      <w:r>
        <w:t xml:space="preserve"> </w:t>
      </w:r>
      <w:r>
        <w:t xml:space="preserve">(as of 2025)</w:t>
      </w:r>
      <w:r>
        <w:t xml:space="preserve"> </w:t>
      </w:r>
      <w:r>
        <w:t xml:space="preserve">- https://biocurious.org/</w:t>
      </w:r>
    </w:p>
    <w:p>
      <w:pPr>
        <w:pStyle w:val="BodyText"/>
      </w:pPr>
      <w:r>
        <w:rPr>
          <w:bCs/>
          <w:b/>
        </w:rPr>
        <w:t xml:space="preserve">First Community Bio Lab:</w:t>
      </w:r>
      <w:r>
        <w:t xml:space="preserve"> </w:t>
      </w:r>
      <w:r>
        <w:t xml:space="preserve">-</w:t>
      </w:r>
      <w:r>
        <w:t xml:space="preserve"> </w:t>
      </w:r>
      <w:r>
        <w:t xml:space="preserve">Genspace in Brooklyn, founded by molecular biologist Ellen Jorgenson in 2010, was the first biohackerspace in the United States; since then, more biohackerspaces have opened, such as BUGSS (Baltimore Underground Science Space) in Baltimore, BioLogik Labs in Norfolk, BioCurious in Sunnyvale, Berkeley BioLabs in Berkeley, Biotech and Beyond in San Diego, and BioHive in Seattle</w:t>
      </w:r>
    </w:p>
    <w:p>
      <w:pPr>
        <w:pStyle w:val="BodyText"/>
      </w:pPr>
      <w:r>
        <w:rPr>
          <w:bCs/>
          <w:b/>
        </w:rPr>
        <w:t xml:space="preserve">Community Norms (Self-Governance):</w:t>
      </w:r>
      <w:r>
        <w:t xml:space="preserve"> </w:t>
      </w:r>
      <w:r>
        <w:t xml:space="preserve">-</w:t>
      </w:r>
      <w:r>
        <w:t xml:space="preserve"> </w:t>
      </w:r>
      <w:r>
        <w:t xml:space="preserve">The DIYbio movement recognized the potential risk in biohacking early on and created codes of conduct in 2011; the Ask a Biosafety Expert (ABE) service at DIY.org provides free biosafety advice from a panel of volunteer experts</w:t>
      </w:r>
      <w:r>
        <w:t xml:space="preserve"> </w:t>
      </w:r>
      <w:r>
        <w:t xml:space="preserve">- Most biohackerspaces meet Biosafety Level 1 criteria (CDC standards)</w:t>
      </w:r>
      <w:r>
        <w:t xml:space="preserve"> </w:t>
      </w:r>
      <w:r>
        <w:t xml:space="preserve">- https://DIYbio.org — support organization with 92+ member labs globally (as of 2026)</w:t>
      </w:r>
    </w:p>
    <w:p>
      <w:pPr>
        <w:pStyle w:val="BodyText"/>
      </w:pPr>
      <w:r>
        <w:rPr>
          <w:bCs/>
          <w:b/>
        </w:rPr>
        <w:t xml:space="preserve">Historical Precedent:</w:t>
      </w:r>
      <w:r>
        <w:t xml:space="preserve"> </w:t>
      </w:r>
      <w:r>
        <w:t xml:space="preserve">-</w:t>
      </w:r>
      <w:r>
        <w:t xml:space="preserve"> </w:t>
      </w:r>
      <w:r>
        <w:t xml:space="preserve">Biohacking entered the San Francisco programmer and maker communities as early as 2005; in 2005 Rob Carlson wrote in Wired:</w:t>
      </w:r>
      <w:r>
        <w:t xml:space="preserve"> </w:t>
      </w:r>
      <w:r>
        <w:t xml:space="preserve">“</w:t>
      </w:r>
      <w:r>
        <w:t xml:space="preserve">The era of garage biology is upon us</w:t>
      </w:r>
      <w:r>
        <w:t xml:space="preserve">”</w:t>
      </w:r>
      <w:r>
        <w:t xml:space="preserve">; he set up a garage lab the same year; in 2008, the DIYbio organization was founded by Jason Bobe and Mackenzie Cowell and its first meeting held</w:t>
      </w:r>
    </w:p>
    <w:p>
      <w:r>
        <w:pict>
          <v:rect style="width:0;height:1.5pt" o:hralign="center" o:hrstd="t" o:hr="t"/>
        </w:pict>
      </w:r>
    </w:p>
    <w:bookmarkEnd w:id="34"/>
    <w:bookmarkStart w:id="35" w:name="X12e1e8568f03960d2ef15eed4f56bc52f528cb9"/>
    <w:p>
      <w:pPr>
        <w:pStyle w:val="Heading3"/>
      </w:pPr>
      <w:r>
        <w:t xml:space="preserve">4.2 Project Examples &amp; Accessibility Demonstrations</w:t>
      </w:r>
    </w:p>
    <w:p>
      <w:pPr>
        <w:pStyle w:val="FirstParagraph"/>
      </w:pPr>
      <w:r>
        <w:rPr>
          <w:bCs/>
          <w:b/>
        </w:rPr>
        <w:t xml:space="preserve">DIY PCR Machine ($350):</w:t>
      </w:r>
      <w:r>
        <w:t xml:space="preserve"> </w:t>
      </w:r>
      <w:r>
        <w:t xml:space="preserve">-</w:t>
      </w:r>
      <w:r>
        <w:t xml:space="preserve"> </w:t>
      </w:r>
      <w:r>
        <w:t xml:space="preserve">A coffee cup-based PCR thermocycler costing under $350 was developed for DIY use</w:t>
      </w:r>
    </w:p>
    <w:p>
      <w:pPr>
        <w:pStyle w:val="BodyText"/>
      </w:pPr>
      <w:r>
        <w:rPr>
          <w:bCs/>
          <w:b/>
        </w:rPr>
        <w:t xml:space="preserve">DIY Equipment Ecosystem:</w:t>
      </w:r>
      <w:r>
        <w:t xml:space="preserve"> </w:t>
      </w:r>
      <w:r>
        <w:t xml:space="preserve">-</w:t>
      </w:r>
      <w:r>
        <w:t xml:space="preserve"> </w:t>
      </w:r>
      <w:r>
        <w:t xml:space="preserve">Recent work combining open-source hardware of microcontrollers like the Arduino and RepRap 3-D printers has enabled very low-cost scientific instruments to be developed</w:t>
      </w:r>
    </w:p>
    <w:p>
      <w:pPr>
        <w:pStyle w:val="BodyText"/>
      </w:pPr>
      <w:r>
        <w:rPr>
          <w:bCs/>
          <w:b/>
        </w:rPr>
        <w:t xml:space="preserve">Emerging Applications:</w:t>
      </w:r>
      <w:r>
        <w:t xml:space="preserve"> </w:t>
      </w:r>
      <w:r>
        <w:t xml:space="preserve">-</w:t>
      </w:r>
      <w:r>
        <w:t xml:space="preserve"> </w:t>
      </w:r>
      <w:r>
        <w:t xml:space="preserve">Biohackers pursue projects ranging from making bacteria that glows in the dark by injecting a luminescent gene to identifying neighbors who fail to clean up after their dogs by comparing DNA from dog excrement with that of saliva samples, testing if food is what it’s advertised to be, creating bacteria that will decompose plastic, checking if a certain risky gene is present in your body, and even investigational journalism to verify evidence</w:t>
      </w:r>
    </w:p>
    <w:p>
      <w:r>
        <w:pict>
          <v:rect style="width:0;height:1.5pt" o:hralign="center" o:hrstd="t" o:hr="t"/>
        </w:pict>
      </w:r>
    </w:p>
    <w:bookmarkEnd w:id="35"/>
    <w:bookmarkEnd w:id="36"/>
    <w:bookmarkStart w:id="39" w:name="X2a5a582cf4ed311ea988a2f177ce0c3c9225542"/>
    <w:p>
      <w:pPr>
        <w:pStyle w:val="Heading2"/>
      </w:pPr>
      <w:r>
        <w:t xml:space="preserve">PART 5: COST TRENDS &amp; TECHNOLOGY READINESS TRAJECTORY</w:t>
      </w:r>
    </w:p>
    <w:bookmarkStart w:id="37" w:name="dna-synthesis-cost-per-base-2024-2026"/>
    <w:p>
      <w:pPr>
        <w:pStyle w:val="Heading3"/>
      </w:pPr>
      <w:r>
        <w:t xml:space="preserve">5.1 DNA Synthesis Cost Per Base (2024-2026)</w:t>
      </w:r>
    </w:p>
    <w:p>
      <w:pPr>
        <w:pStyle w:val="FirstParagraph"/>
      </w:pPr>
      <w:r>
        <w:rPr>
          <w:bCs/>
          <w:b/>
        </w:rPr>
        <w:t xml:space="preserve">Commercial Services:</w:t>
      </w:r>
      <w:r>
        <w:t xml:space="preserve"> </w:t>
      </w:r>
      <w:r>
        <w:t xml:space="preserve">-</w:t>
      </w:r>
      <w:r>
        <w:t xml:space="preserve"> </w:t>
      </w:r>
      <w:r>
        <w:t xml:space="preserve">James Field maintains a tracking database of</w:t>
      </w:r>
      <w:r>
        <w:t xml:space="preserve"> </w:t>
      </w:r>
      <w:r>
        <w:t xml:space="preserve">“</w:t>
      </w:r>
      <w:r>
        <w:t xml:space="preserve">DNA Synthesis and Sequencing Costs and Productivity</w:t>
      </w:r>
      <w:r>
        <w:t xml:space="preserve">”</w:t>
      </w:r>
      <w:r>
        <w:t xml:space="preserve"> </w:t>
      </w:r>
      <w:r>
        <w:t xml:space="preserve">updated annually at synthesis.cc</w:t>
      </w:r>
      <w:r>
        <w:t xml:space="preserve"> </w:t>
      </w:r>
      <w:r>
        <w:t xml:space="preserve">- http://www.synthesis.cc/synthesis/2025/5/dna-synthesis-and-sequencing-costs-and-productivity-for-2025 (May 2025 update)</w:t>
      </w:r>
    </w:p>
    <w:p>
      <w:pPr>
        <w:pStyle w:val="BodyText"/>
      </w:pPr>
      <w:r>
        <w:rPr>
          <w:bCs/>
          <w:b/>
        </w:rPr>
        <w:t xml:space="preserve">DIY OpenIDS Estimates:</w:t>
      </w:r>
      <w:r>
        <w:t xml:space="preserve"> </w:t>
      </w:r>
      <w:r>
        <w:t xml:space="preserve">- System cost: $19,900 (5-printhead setup)</w:t>
      </w:r>
      <w:r>
        <w:t xml:space="preserve"> </w:t>
      </w:r>
      <w:r>
        <w:t xml:space="preserve">- Reagent cost per sequence: ~$100-500 for initial build, $1-5 per sequence at scale</w:t>
      </w:r>
      <w:r>
        <w:t xml:space="preserve"> </w:t>
      </w:r>
      <w:r>
        <w:t xml:space="preserve">- Capital amortization: At 1000+ sequences, cost approaches commercial pricing</w:t>
      </w:r>
    </w:p>
    <w:p>
      <w:pPr>
        <w:pStyle w:val="BodyText"/>
      </w:pPr>
      <w:r>
        <w:rPr>
          <w:bCs/>
          <w:b/>
        </w:rPr>
        <w:t xml:space="preserve">Benchtop Synthesizer Market Segment:</w:t>
      </w:r>
      <w:r>
        <w:t xml:space="preserve"> </w:t>
      </w:r>
      <w:r>
        <w:t xml:space="preserve">-</w:t>
      </w:r>
      <w:r>
        <w:t xml:space="preserve"> </w:t>
      </w:r>
      <w:r>
        <w:t xml:space="preserve">Benchtop DNA synthesizers segment expected to lead at 67.5% market share, driven by growing demand for accessible, compact, and cost-effective solutions enabling researchers to produce custom DNA sequences on-site, reducing turnaround times and enabling rapid prototyping</w:t>
      </w:r>
    </w:p>
    <w:p>
      <w:pPr>
        <w:pStyle w:val="BodyText"/>
      </w:pPr>
      <w:r>
        <w:rPr>
          <w:bCs/>
          <w:b/>
        </w:rPr>
        <w:t xml:space="preserve">Enzymatic DNA Synthesis Costs (Emerging):</w:t>
      </w:r>
      <w:r>
        <w:t xml:space="preserve"> </w:t>
      </w:r>
      <w:r>
        <w:t xml:space="preserve">-</w:t>
      </w:r>
      <w:r>
        <w:t xml:space="preserve"> </w:t>
      </w:r>
      <w:r>
        <w:t xml:space="preserve">TdT-based platforms are expected to expand at a 30.42% CAGR through 2030; these provide rapid, on-site synthesis, protecting intellectual property and reducing lead times</w:t>
      </w:r>
    </w:p>
    <w:p>
      <w:r>
        <w:pict>
          <v:rect style="width:0;height:1.5pt" o:hralign="center" o:hrstd="t" o:hr="t"/>
        </w:pict>
      </w:r>
    </w:p>
    <w:bookmarkEnd w:id="37"/>
    <w:bookmarkStart w:id="38" w:name="technology-readiness-index-preliminary"/>
    <w:p>
      <w:pPr>
        <w:pStyle w:val="Heading3"/>
      </w:pPr>
      <w:r>
        <w:t xml:space="preserve">5.2 Technology Readiness Index (Preliminary)</w:t>
      </w:r>
    </w:p>
    <w:tbl>
      <w:tblPr>
        <w:tblStyle w:val="Table"/>
        <w:tblW w:type="pct" w:w="5000"/>
        <w:tblLook w:firstRow="1" w:lastRow="0" w:firstColumn="0" w:lastColumn="0" w:noHBand="0" w:noVBand="0" w:val="0020"/>
        <w:jc w:val="start"/>
      </w:tblPr>
      <w:tblGrid>
        <w:gridCol w:w="1147"/>
        <w:gridCol w:w="573"/>
        <w:gridCol w:w="688"/>
        <w:gridCol w:w="1262"/>
        <w:gridCol w:w="1147"/>
        <w:gridCol w:w="1721"/>
        <w:gridCol w:w="1377"/>
      </w:tblGrid>
      <w:tr>
        <w:trPr>
          <w:tblHeader w:val="true"/>
        </w:trPr>
        <w:tc>
          <w:tcPr/>
          <w:p>
            <w:pPr>
              <w:pStyle w:val="Compact"/>
              <w:jc w:val="left"/>
            </w:pPr>
            <w:r>
              <w:t xml:space="preserve">Approach</w:t>
            </w:r>
          </w:p>
        </w:tc>
        <w:tc>
          <w:tcPr/>
          <w:p>
            <w:pPr>
              <w:pStyle w:val="Compact"/>
              <w:jc w:val="left"/>
            </w:pPr>
            <w:r>
              <w:t xml:space="preserve">TRL</w:t>
            </w:r>
          </w:p>
        </w:tc>
        <w:tc>
          <w:tcPr/>
          <w:p>
            <w:pPr>
              <w:pStyle w:val="Compact"/>
              <w:jc w:val="left"/>
            </w:pPr>
            <w:r>
              <w:t xml:space="preserve">Cost</w:t>
            </w:r>
          </w:p>
        </w:tc>
        <w:tc>
          <w:tcPr/>
          <w:p>
            <w:pPr>
              <w:pStyle w:val="Compact"/>
              <w:jc w:val="left"/>
            </w:pPr>
            <w:r>
              <w:t xml:space="preserve">Expertise</w:t>
            </w:r>
          </w:p>
        </w:tc>
        <w:tc>
          <w:tcPr/>
          <w:p>
            <w:pPr>
              <w:pStyle w:val="Compact"/>
              <w:jc w:val="left"/>
            </w:pPr>
            <w:r>
              <w:t xml:space="preserve">Timeline</w:t>
            </w:r>
          </w:p>
        </w:tc>
        <w:tc>
          <w:tcPr/>
          <w:p>
            <w:pPr>
              <w:pStyle w:val="Compact"/>
              <w:jc w:val="left"/>
            </w:pPr>
            <w:r>
              <w:t xml:space="preserve">Detectability</w:t>
            </w:r>
          </w:p>
        </w:tc>
        <w:tc>
          <w:tcPr/>
          <w:p>
            <w:pPr>
              <w:pStyle w:val="Compact"/>
              <w:jc w:val="left"/>
            </w:pPr>
            <w:r>
              <w:t xml:space="preserve">Status 2026</w:t>
            </w:r>
          </w:p>
        </w:tc>
      </w:tr>
      <w:tr>
        <w:tc>
          <w:tcPr/>
          <w:p>
            <w:pPr>
              <w:pStyle w:val="Compact"/>
              <w:jc w:val="left"/>
            </w:pPr>
            <w:r>
              <w:rPr>
                <w:bCs/>
                <w:b/>
              </w:rPr>
              <w:t xml:space="preserve">OpenIDS (Inkjet)</w:t>
            </w:r>
          </w:p>
        </w:tc>
        <w:tc>
          <w:tcPr/>
          <w:p>
            <w:pPr>
              <w:pStyle w:val="Compact"/>
              <w:jc w:val="left"/>
            </w:pPr>
            <w:r>
              <w:t xml:space="preserve">5</w:t>
            </w:r>
          </w:p>
        </w:tc>
        <w:tc>
          <w:tcPr/>
          <w:p>
            <w:pPr>
              <w:pStyle w:val="Compact"/>
              <w:jc w:val="left"/>
            </w:pPr>
            <w:r>
              <w:t xml:space="preserve">$20K</w:t>
            </w:r>
          </w:p>
        </w:tc>
        <w:tc>
          <w:tcPr/>
          <w:p>
            <w:pPr>
              <w:pStyle w:val="Compact"/>
              <w:jc w:val="left"/>
            </w:pPr>
            <w:r>
              <w:t xml:space="preserve">Medium</w:t>
            </w:r>
          </w:p>
        </w:tc>
        <w:tc>
          <w:tcPr/>
          <w:p>
            <w:pPr>
              <w:pStyle w:val="Compact"/>
              <w:jc w:val="left"/>
            </w:pPr>
            <w:r>
              <w:t xml:space="preserve">Weeks-months</w:t>
            </w:r>
          </w:p>
        </w:tc>
        <w:tc>
          <w:tcPr/>
          <w:p>
            <w:pPr>
              <w:pStyle w:val="Compact"/>
              <w:jc w:val="left"/>
            </w:pPr>
            <w:r>
              <w:t xml:space="preserve">No oversight</w:t>
            </w:r>
          </w:p>
        </w:tc>
        <w:tc>
          <w:tcPr/>
          <w:p>
            <w:pPr>
              <w:pStyle w:val="Compact"/>
              <w:jc w:val="left"/>
            </w:pPr>
            <w:r>
              <w:t xml:space="preserve">Academic ready, DIY ready</w:t>
            </w:r>
          </w:p>
        </w:tc>
      </w:tr>
      <w:tr>
        <w:tc>
          <w:tcPr/>
          <w:p>
            <w:pPr>
              <w:pStyle w:val="Compact"/>
              <w:jc w:val="left"/>
            </w:pPr>
            <w:r>
              <w:rPr>
                <w:bCs/>
                <w:b/>
              </w:rPr>
              <w:t xml:space="preserve">DropSynth (Microfluidic)</w:t>
            </w:r>
          </w:p>
        </w:tc>
        <w:tc>
          <w:tcPr/>
          <w:p>
            <w:pPr>
              <w:pStyle w:val="Compact"/>
              <w:jc w:val="left"/>
            </w:pPr>
            <w:r>
              <w:t xml:space="preserve">4</w:t>
            </w:r>
          </w:p>
        </w:tc>
        <w:tc>
          <w:tcPr/>
          <w:p>
            <w:pPr>
              <w:pStyle w:val="Compact"/>
              <w:jc w:val="left"/>
            </w:pPr>
            <w:r>
              <w:t xml:space="preserve">$50K+</w:t>
            </w:r>
          </w:p>
        </w:tc>
        <w:tc>
          <w:tcPr/>
          <w:p>
            <w:pPr>
              <w:pStyle w:val="Compact"/>
              <w:jc w:val="left"/>
            </w:pPr>
            <w:r>
              <w:t xml:space="preserve">High</w:t>
            </w:r>
          </w:p>
        </w:tc>
        <w:tc>
          <w:tcPr/>
          <w:p>
            <w:pPr>
              <w:pStyle w:val="Compact"/>
              <w:jc w:val="left"/>
            </w:pPr>
            <w:r>
              <w:t xml:space="preserve">Months</w:t>
            </w:r>
          </w:p>
        </w:tc>
        <w:tc>
          <w:tcPr/>
          <w:p>
            <w:pPr>
              <w:pStyle w:val="Compact"/>
              <w:jc w:val="left"/>
            </w:pPr>
            <w:r>
              <w:t xml:space="preserve">No oversight</w:t>
            </w:r>
          </w:p>
        </w:tc>
        <w:tc>
          <w:tcPr/>
          <w:p>
            <w:pPr>
              <w:pStyle w:val="Compact"/>
              <w:jc w:val="left"/>
            </w:pPr>
            <w:r>
              <w:t xml:space="preserve">Research prototype</w:t>
            </w:r>
          </w:p>
        </w:tc>
      </w:tr>
      <w:tr>
        <w:tc>
          <w:tcPr/>
          <w:p>
            <w:pPr>
              <w:pStyle w:val="Compact"/>
              <w:jc w:val="left"/>
            </w:pPr>
            <w:r>
              <w:rPr>
                <w:bCs/>
                <w:b/>
              </w:rPr>
              <w:t xml:space="preserve">Electrochemical</w:t>
            </w:r>
          </w:p>
        </w:tc>
        <w:tc>
          <w:tcPr/>
          <w:p>
            <w:pPr>
              <w:pStyle w:val="Compact"/>
              <w:jc w:val="left"/>
            </w:pPr>
            <w:r>
              <w:t xml:space="preserve">3</w:t>
            </w:r>
          </w:p>
        </w:tc>
        <w:tc>
          <w:tcPr/>
          <w:p>
            <w:pPr>
              <w:pStyle w:val="Compact"/>
              <w:jc w:val="left"/>
            </w:pPr>
            <w:r>
              <w:t xml:space="preserve">$5-10K</w:t>
            </w:r>
          </w:p>
        </w:tc>
        <w:tc>
          <w:tcPr/>
          <w:p>
            <w:pPr>
              <w:pStyle w:val="Compact"/>
              <w:jc w:val="left"/>
            </w:pPr>
            <w:r>
              <w:t xml:space="preserve">Low-medium</w:t>
            </w:r>
          </w:p>
        </w:tc>
        <w:tc>
          <w:tcPr/>
          <w:p>
            <w:pPr>
              <w:pStyle w:val="Compact"/>
              <w:jc w:val="left"/>
            </w:pPr>
            <w:r>
              <w:t xml:space="preserve">Months-years</w:t>
            </w:r>
          </w:p>
        </w:tc>
        <w:tc>
          <w:tcPr/>
          <w:p>
            <w:pPr>
              <w:pStyle w:val="Compact"/>
              <w:jc w:val="left"/>
            </w:pPr>
            <w:r>
              <w:t xml:space="preserve">Portable</w:t>
            </w:r>
          </w:p>
        </w:tc>
        <w:tc>
          <w:tcPr/>
          <w:p>
            <w:pPr>
              <w:pStyle w:val="Compact"/>
              <w:jc w:val="left"/>
            </w:pPr>
            <w:r>
              <w:t xml:space="preserve">Pre-commercial</w:t>
            </w:r>
          </w:p>
        </w:tc>
      </w:tr>
      <w:tr>
        <w:tc>
          <w:tcPr/>
          <w:p>
            <w:pPr>
              <w:pStyle w:val="Compact"/>
              <w:jc w:val="left"/>
            </w:pPr>
            <w:r>
              <w:rPr>
                <w:bCs/>
                <w:b/>
              </w:rPr>
              <w:t xml:space="preserve">Enzymatic (EDS)</w:t>
            </w:r>
          </w:p>
        </w:tc>
        <w:tc>
          <w:tcPr/>
          <w:p>
            <w:pPr>
              <w:pStyle w:val="Compact"/>
              <w:jc w:val="left"/>
            </w:pPr>
            <w:r>
              <w:t xml:space="preserve">5-6</w:t>
            </w:r>
          </w:p>
        </w:tc>
        <w:tc>
          <w:tcPr/>
          <w:p>
            <w:pPr>
              <w:pStyle w:val="Compact"/>
              <w:jc w:val="left"/>
            </w:pPr>
            <w:r>
              <w:t xml:space="preserve">$50-100K</w:t>
            </w:r>
          </w:p>
        </w:tc>
        <w:tc>
          <w:tcPr/>
          <w:p>
            <w:pPr>
              <w:pStyle w:val="Compact"/>
              <w:jc w:val="left"/>
            </w:pPr>
            <w:r>
              <w:t xml:space="preserve">Medium</w:t>
            </w:r>
          </w:p>
        </w:tc>
        <w:tc>
          <w:tcPr/>
          <w:p>
            <w:pPr>
              <w:pStyle w:val="Compact"/>
              <w:jc w:val="left"/>
            </w:pPr>
            <w:r>
              <w:t xml:space="preserve">Weeks</w:t>
            </w:r>
          </w:p>
        </w:tc>
        <w:tc>
          <w:tcPr/>
          <w:p>
            <w:pPr>
              <w:pStyle w:val="Compact"/>
              <w:jc w:val="left"/>
            </w:pPr>
            <w:r>
              <w:t xml:space="preserve">No oversight</w:t>
            </w:r>
          </w:p>
        </w:tc>
        <w:tc>
          <w:tcPr/>
          <w:p>
            <w:pPr>
              <w:pStyle w:val="Compact"/>
              <w:jc w:val="left"/>
            </w:pPr>
            <w:r>
              <w:t xml:space="preserve">Scaling commercially</w:t>
            </w:r>
          </w:p>
        </w:tc>
      </w:tr>
      <w:tr>
        <w:tc>
          <w:tcPr/>
          <w:p>
            <w:pPr>
              <w:pStyle w:val="Compact"/>
              <w:jc w:val="left"/>
            </w:pPr>
            <w:r>
              <w:rPr>
                <w:bCs/>
                <w:b/>
              </w:rPr>
              <w:t xml:space="preserve">Commercial synthesis</w:t>
            </w:r>
          </w:p>
        </w:tc>
        <w:tc>
          <w:tcPr/>
          <w:p>
            <w:pPr>
              <w:pStyle w:val="Compact"/>
              <w:jc w:val="left"/>
            </w:pPr>
            <w:r>
              <w:t xml:space="preserve">9</w:t>
            </w:r>
          </w:p>
        </w:tc>
        <w:tc>
          <w:tcPr/>
          <w:p>
            <w:pPr>
              <w:pStyle w:val="Compact"/>
              <w:jc w:val="left"/>
            </w:pPr>
            <w:r>
              <w:t xml:space="preserve">$0.10-1 per bp</w:t>
            </w:r>
          </w:p>
        </w:tc>
        <w:tc>
          <w:tcPr/>
          <w:p>
            <w:pPr>
              <w:pStyle w:val="Compact"/>
              <w:jc w:val="left"/>
            </w:pPr>
            <w:r>
              <w:t xml:space="preserve">Easy</w:t>
            </w:r>
          </w:p>
        </w:tc>
        <w:tc>
          <w:tcPr/>
          <w:p>
            <w:pPr>
              <w:pStyle w:val="Compact"/>
              <w:jc w:val="left"/>
            </w:pPr>
            <w:r>
              <w:t xml:space="preserve">Days</w:t>
            </w:r>
          </w:p>
        </w:tc>
        <w:tc>
          <w:tcPr/>
          <w:p>
            <w:pPr>
              <w:pStyle w:val="Compact"/>
              <w:jc w:val="left"/>
            </w:pPr>
            <w:r>
              <w:t xml:space="preserve">✅ Screening catches evasion</w:t>
            </w:r>
          </w:p>
        </w:tc>
        <w:tc>
          <w:tcPr/>
          <w:p>
            <w:pPr>
              <w:pStyle w:val="Compact"/>
              <w:jc w:val="left"/>
            </w:pPr>
            <w:r>
              <w:t xml:space="preserve">Mature, screened</w:t>
            </w:r>
          </w:p>
        </w:tc>
      </w:tr>
      <w:tr>
        <w:tc>
          <w:tcPr/>
          <w:p>
            <w:pPr>
              <w:pStyle w:val="Compact"/>
              <w:jc w:val="left"/>
            </w:pPr>
            <w:r>
              <w:rPr>
                <w:bCs/>
                <w:b/>
              </w:rPr>
              <w:t xml:space="preserve">Commercial benchtop</w:t>
            </w:r>
          </w:p>
        </w:tc>
        <w:tc>
          <w:tcPr/>
          <w:p>
            <w:pPr>
              <w:pStyle w:val="Compact"/>
              <w:jc w:val="left"/>
            </w:pPr>
            <w:r>
              <w:t xml:space="preserve">7</w:t>
            </w:r>
          </w:p>
        </w:tc>
        <w:tc>
          <w:tcPr/>
          <w:p>
            <w:pPr>
              <w:pStyle w:val="Compact"/>
              <w:jc w:val="left"/>
            </w:pPr>
            <w:r>
              <w:t xml:space="preserve">$50-150K</w:t>
            </w:r>
          </w:p>
        </w:tc>
        <w:tc>
          <w:tcPr/>
          <w:p>
            <w:pPr>
              <w:pStyle w:val="Compact"/>
              <w:jc w:val="left"/>
            </w:pPr>
            <w:r>
              <w:t xml:space="preserve">Medium</w:t>
            </w:r>
          </w:p>
        </w:tc>
        <w:tc>
          <w:tcPr/>
          <w:p>
            <w:pPr>
              <w:pStyle w:val="Compact"/>
              <w:jc w:val="left"/>
            </w:pPr>
            <w:r>
              <w:t xml:space="preserve">Real-time</w:t>
            </w:r>
          </w:p>
        </w:tc>
        <w:tc>
          <w:tcPr/>
          <w:p>
            <w:pPr>
              <w:pStyle w:val="Compact"/>
              <w:jc w:val="left"/>
            </w:pPr>
            <w:r>
              <w:t xml:space="preserve">Possible oversight</w:t>
            </w:r>
          </w:p>
        </w:tc>
        <w:tc>
          <w:tcPr/>
          <w:p>
            <w:pPr>
              <w:pStyle w:val="Compact"/>
              <w:jc w:val="left"/>
            </w:pPr>
            <w:r>
              <w:t xml:space="preserve">Rapidly expanding</w:t>
            </w:r>
          </w:p>
        </w:tc>
      </w:tr>
    </w:tbl>
    <w:p>
      <w:r>
        <w:pict>
          <v:rect style="width:0;height:1.5pt" o:hralign="center" o:hrstd="t" o:hr="t"/>
        </w:pict>
      </w:r>
    </w:p>
    <w:bookmarkEnd w:id="38"/>
    <w:bookmarkEnd w:id="39"/>
    <w:bookmarkStart w:id="41" w:name="Xdf7878b25b02c01e678d9debbad1393498acbd9"/>
    <w:p>
      <w:pPr>
        <w:pStyle w:val="Heading2"/>
      </w:pPr>
      <w:r>
        <w:t xml:space="preserve">PART 6: CRITICAL GAPS &amp; RESEARCH OPPORTUNITIES</w:t>
      </w:r>
    </w:p>
    <w:bookmarkStart w:id="40" w:name="identified-research-needs"/>
    <w:p>
      <w:pPr>
        <w:pStyle w:val="Heading3"/>
      </w:pPr>
      <w:r>
        <w:t xml:space="preserve">6.1 Identified Research Needs</w:t>
      </w:r>
    </w:p>
    <w:p>
      <w:pPr>
        <w:pStyle w:val="FirstParagraph"/>
      </w:pPr>
      <w:r>
        <w:rPr>
          <w:bCs/>
          <w:b/>
        </w:rPr>
        <w:t xml:space="preserve">Accessibility Mapping:</w:t>
      </w:r>
      <w:r>
        <w:t xml:space="preserve"> </w:t>
      </w:r>
      <w:r>
        <w:t xml:space="preserve">- Comprehensive TRI update incorporating 2025-2026 developments</w:t>
      </w:r>
      <w:r>
        <w:t xml:space="preserve"> </w:t>
      </w:r>
      <w:r>
        <w:t xml:space="preserve">- Cost learning curves for each approach</w:t>
      </w:r>
      <w:r>
        <w:t xml:space="preserve"> </w:t>
      </w:r>
      <w:r>
        <w:t xml:space="preserve">- Supply chain vulnerability assessment for all reagents (beyond phosphoramidites)</w:t>
      </w:r>
      <w:r>
        <w:t xml:space="preserve"> </w:t>
      </w:r>
      <w:r>
        <w:t xml:space="preserve">- Detectability signatures for DIY-synthesized sequences</w:t>
      </w:r>
    </w:p>
    <w:p>
      <w:pPr>
        <w:pStyle w:val="BodyText"/>
      </w:pPr>
      <w:r>
        <w:rPr>
          <w:bCs/>
          <w:b/>
        </w:rPr>
        <w:t xml:space="preserve">Bottleneck Analysis:</w:t>
      </w:r>
      <w:r>
        <w:t xml:space="preserve"> </w:t>
      </w:r>
      <w:r>
        <w:t xml:space="preserve">- Error accumulation models for DIY-produced oligos vs. commercial</w:t>
      </w:r>
      <w:r>
        <w:t xml:space="preserve"> </w:t>
      </w:r>
      <w:r>
        <w:t xml:space="preserve">- Assembly feasibility (Gibson assembly, overlap PCR) from DIY oligos</w:t>
      </w:r>
      <w:r>
        <w:t xml:space="preserve"> </w:t>
      </w:r>
      <w:r>
        <w:t xml:space="preserve">- Maximum sequence length achievable on DIY systems (function of error rate)</w:t>
      </w:r>
    </w:p>
    <w:p>
      <w:pPr>
        <w:pStyle w:val="BodyText"/>
      </w:pPr>
      <w:r>
        <w:rPr>
          <w:bCs/>
          <w:b/>
        </w:rPr>
        <w:t xml:space="preserve">Policy &amp; Governance:</w:t>
      </w:r>
      <w:r>
        <w:t xml:space="preserve"> </w:t>
      </w:r>
      <w:r>
        <w:t xml:space="preserve">- Supply chain control lever effectiveness analysis</w:t>
      </w:r>
      <w:r>
        <w:t xml:space="preserve"> </w:t>
      </w:r>
      <w:r>
        <w:t xml:space="preserve">- International harmonization of screening (beyond IGSC/OSTP)</w:t>
      </w:r>
      <w:r>
        <w:t xml:space="preserve"> </w:t>
      </w:r>
      <w:r>
        <w:t xml:space="preserve">- Benchtop synthesizer customer screening mechanisms (OSTP requires screening for devices too)</w:t>
      </w:r>
      <w:r>
        <w:t xml:space="preserve"> </w:t>
      </w:r>
      <w:r>
        <w:t xml:space="preserve">- Detection and forensic attribution frameworks</w:t>
      </w:r>
    </w:p>
    <w:p>
      <w:pPr>
        <w:pStyle w:val="BodyText"/>
      </w:pPr>
      <w:r>
        <w:rPr>
          <w:bCs/>
          <w:b/>
        </w:rPr>
        <w:t xml:space="preserve">Biosecurity Emerging Threats:</w:t>
      </w:r>
      <w:r>
        <w:t xml:space="preserve"> </w:t>
      </w:r>
      <w:r>
        <w:t xml:space="preserve">-</w:t>
      </w:r>
      <w:r>
        <w:t xml:space="preserve"> </w:t>
      </w:r>
      <w:r>
        <w:t xml:space="preserve">AI-designed protein variants increasingly escape detection; 3% of AI-generated variants believed to retain functionality still escape post-patch detection</w:t>
      </w:r>
      <w:r>
        <w:t xml:space="preserve"> </w:t>
      </w:r>
      <w:r>
        <w:t xml:space="preserve">- Function-based screening remains unsolved (current screening relies on sequence similarity)</w:t>
      </w:r>
    </w:p>
    <w:p>
      <w:r>
        <w:pict>
          <v:rect style="width:0;height:1.5pt" o:hralign="center" o:hrstd="t" o:hr="t"/>
        </w:pict>
      </w:r>
    </w:p>
    <w:bookmarkEnd w:id="40"/>
    <w:bookmarkEnd w:id="41"/>
    <w:bookmarkStart w:id="45" w:name="part-7-key-sources-reference-materials"/>
    <w:p>
      <w:pPr>
        <w:pStyle w:val="Heading2"/>
      </w:pPr>
      <w:r>
        <w:t xml:space="preserve">PART 7: KEY SOURCES &amp; REFERENCE MATERIALS</w:t>
      </w:r>
    </w:p>
    <w:bookmarkStart w:id="42" w:name="Xd1e2621d1ea483ba40bf7f13d12419ad58cb2d4"/>
    <w:p>
      <w:pPr>
        <w:pStyle w:val="Heading3"/>
      </w:pPr>
      <w:r>
        <w:t xml:space="preserve">Primary Literature (Ranked by Relevance to DIY Synthesis)</w:t>
      </w:r>
    </w:p>
    <w:p>
      <w:pPr>
        <w:numPr>
          <w:ilvl w:val="0"/>
          <w:numId w:val="1001"/>
        </w:numPr>
        <w:pStyle w:val="Compact"/>
      </w:pPr>
      <w:r>
        <w:rPr>
          <w:bCs/>
          <w:b/>
        </w:rPr>
        <w:t xml:space="preserve">OpenIDS (Core DIY Technology)</w:t>
      </w:r>
    </w:p>
    <w:p>
      <w:pPr>
        <w:numPr>
          <w:ilvl w:val="1"/>
          <w:numId w:val="1002"/>
        </w:numPr>
        <w:pStyle w:val="Compact"/>
      </w:pPr>
      <w:r>
        <w:t xml:space="preserve">Kim, J., Kim, H., &amp; Bang, D. (2024).</w:t>
      </w:r>
      <w:r>
        <w:t xml:space="preserve"> </w:t>
      </w:r>
      <w:r>
        <w:t xml:space="preserve">“</w:t>
      </w:r>
      <w:r>
        <w:t xml:space="preserve">An open-source, 3D printed inkjet DNA synthesizer.</w:t>
      </w:r>
      <w:r>
        <w:t xml:space="preserve">”</w:t>
      </w:r>
      <w:r>
        <w:t xml:space="preserve"> </w:t>
      </w:r>
      <w:r>
        <w:rPr>
          <w:iCs/>
          <w:i/>
        </w:rPr>
        <w:t xml:space="preserve">Scientific Reports</w:t>
      </w:r>
      <w:r>
        <w:t xml:space="preserve">, 14, 3773.</w:t>
      </w:r>
    </w:p>
    <w:p>
      <w:pPr>
        <w:numPr>
          <w:ilvl w:val="1"/>
          <w:numId w:val="1002"/>
        </w:numPr>
        <w:pStyle w:val="Compact"/>
      </w:pPr>
      <w:r>
        <w:t xml:space="preserve">GitHub: https://github.com/regiregire/OpenIDS</w:t>
      </w:r>
    </w:p>
    <w:p>
      <w:pPr>
        <w:numPr>
          <w:ilvl w:val="0"/>
          <w:numId w:val="1001"/>
        </w:numPr>
        <w:pStyle w:val="Compact"/>
      </w:pPr>
      <w:r>
        <w:rPr>
          <w:bCs/>
          <w:b/>
        </w:rPr>
        <w:t xml:space="preserve">OpenIDS2 (2025 Update)</w:t>
      </w:r>
    </w:p>
    <w:p>
      <w:pPr>
        <w:numPr>
          <w:ilvl w:val="1"/>
          <w:numId w:val="1003"/>
        </w:numPr>
        <w:pStyle w:val="Compact"/>
      </w:pPr>
      <w:r>
        <w:t xml:space="preserve">Kim, J., Kim, H., &amp; Bang, D. (2025).</w:t>
      </w:r>
      <w:r>
        <w:t xml:space="preserve"> </w:t>
      </w:r>
      <w:r>
        <w:t xml:space="preserve">“</w:t>
      </w:r>
      <w:r>
        <w:t xml:space="preserve">OpenIDS2: A low-cost, 3D-printed, open-source platform for reproducible construction of DNA microarray synthesizers.</w:t>
      </w:r>
      <w:r>
        <w:t xml:space="preserve">”</w:t>
      </w:r>
      <w:r>
        <w:t xml:space="preserve"> </w:t>
      </w:r>
      <w:r>
        <w:rPr>
          <w:iCs/>
          <w:i/>
        </w:rPr>
        <w:t xml:space="preserve">PLOS ONE</w:t>
      </w:r>
      <w:r>
        <w:t xml:space="preserve">.</w:t>
      </w:r>
    </w:p>
    <w:p>
      <w:pPr>
        <w:numPr>
          <w:ilvl w:val="0"/>
          <w:numId w:val="1001"/>
        </w:numPr>
        <w:pStyle w:val="Compact"/>
      </w:pPr>
      <w:r>
        <w:rPr>
          <w:bCs/>
          <w:b/>
        </w:rPr>
        <w:t xml:space="preserve">Synthesis Screening Policy (Current Framework)</w:t>
      </w:r>
    </w:p>
    <w:p>
      <w:pPr>
        <w:numPr>
          <w:ilvl w:val="1"/>
          <w:numId w:val="1004"/>
        </w:numPr>
        <w:pStyle w:val="Compact"/>
      </w:pPr>
      <w:r>
        <w:t xml:space="preserve">White House OSTP (2024).</w:t>
      </w:r>
      <w:r>
        <w:t xml:space="preserve"> </w:t>
      </w:r>
      <w:r>
        <w:t xml:space="preserve">“</w:t>
      </w:r>
      <w:r>
        <w:t xml:space="preserve">Framework for Nucleic Acid Synthesis Screening.</w:t>
      </w:r>
      <w:r>
        <w:t xml:space="preserve">”</w:t>
      </w:r>
    </w:p>
    <w:p>
      <w:pPr>
        <w:numPr>
          <w:ilvl w:val="1"/>
          <w:numId w:val="1004"/>
        </w:numPr>
        <w:pStyle w:val="Compact"/>
      </w:pPr>
      <w:r>
        <w:t xml:space="preserve">https://aspr.hhs.gov/S3/Pages/OSTP-Framework-for-Nucleic-Acid-Synthesis-Screening.aspx</w:t>
      </w:r>
    </w:p>
    <w:p>
      <w:pPr>
        <w:numPr>
          <w:ilvl w:val="0"/>
          <w:numId w:val="1001"/>
        </w:numPr>
        <w:pStyle w:val="Compact"/>
      </w:pPr>
      <w:r>
        <w:rPr>
          <w:bCs/>
          <w:b/>
        </w:rPr>
        <w:t xml:space="preserve">Biosecurity Vulnerability (Screening Evasion)</w:t>
      </w:r>
    </w:p>
    <w:p>
      <w:pPr>
        <w:numPr>
          <w:ilvl w:val="1"/>
          <w:numId w:val="1005"/>
        </w:numPr>
        <w:pStyle w:val="Compact"/>
      </w:pPr>
      <w:r>
        <w:t xml:space="preserve">Wittmann, B.J., et al. (2025).</w:t>
      </w:r>
      <w:r>
        <w:t xml:space="preserve"> </w:t>
      </w:r>
      <w:r>
        <w:t xml:space="preserve">“</w:t>
      </w:r>
      <w:r>
        <w:t xml:space="preserve">Strengthening nucleic acid biosecurity screening against generative protein design tools.</w:t>
      </w:r>
      <w:r>
        <w:t xml:space="preserve">”</w:t>
      </w:r>
      <w:r>
        <w:t xml:space="preserve"> </w:t>
      </w:r>
      <w:r>
        <w:rPr>
          <w:iCs/>
          <w:i/>
        </w:rPr>
        <w:t xml:space="preserve">Science</w:t>
      </w:r>
      <w:r>
        <w:t xml:space="preserve">, 390(6641).</w:t>
      </w:r>
    </w:p>
    <w:p>
      <w:pPr>
        <w:numPr>
          <w:ilvl w:val="1"/>
          <w:numId w:val="1005"/>
        </w:numPr>
        <w:pStyle w:val="Compact"/>
      </w:pPr>
      <w:r>
        <w:t xml:space="preserve">https://doi.org/10.1126/science.adu8578</w:t>
      </w:r>
    </w:p>
    <w:p>
      <w:pPr>
        <w:numPr>
          <w:ilvl w:val="0"/>
          <w:numId w:val="1001"/>
        </w:numPr>
        <w:pStyle w:val="Compact"/>
      </w:pPr>
      <w:r>
        <w:rPr>
          <w:bCs/>
          <w:b/>
        </w:rPr>
        <w:t xml:space="preserve">Synthesis Screening State of Play</w:t>
      </w:r>
    </w:p>
    <w:p>
      <w:pPr>
        <w:numPr>
          <w:ilvl w:val="1"/>
          <w:numId w:val="1006"/>
        </w:numPr>
        <w:pStyle w:val="Compact"/>
      </w:pPr>
      <w:r>
        <w:t xml:space="preserve">Baum, S., et al. (2026).</w:t>
      </w:r>
      <w:r>
        <w:t xml:space="preserve"> </w:t>
      </w:r>
      <w:r>
        <w:t xml:space="preserve">“</w:t>
      </w:r>
      <w:r>
        <w:t xml:space="preserve">Screening State of Play: The Biosecurity Practices of Synthetic DNA Providers.</w:t>
      </w:r>
      <w:r>
        <w:t xml:space="preserve">”</w:t>
      </w:r>
      <w:r>
        <w:t xml:space="preserve"> </w:t>
      </w:r>
      <w:r>
        <w:rPr>
          <w:iCs/>
          <w:i/>
        </w:rPr>
        <w:t xml:space="preserve">PMC National Center for Biotechnology Information</w:t>
      </w:r>
      <w:r>
        <w:t xml:space="preserve">.</w:t>
      </w:r>
    </w:p>
    <w:p>
      <w:pPr>
        <w:numPr>
          <w:ilvl w:val="0"/>
          <w:numId w:val="1001"/>
        </w:numPr>
        <w:pStyle w:val="Compact"/>
      </w:pPr>
      <w:r>
        <w:rPr>
          <w:bCs/>
          <w:b/>
        </w:rPr>
        <w:t xml:space="preserve">DropSynth (Alternative Approach)</w:t>
      </w:r>
    </w:p>
    <w:p>
      <w:pPr>
        <w:numPr>
          <w:ilvl w:val="1"/>
          <w:numId w:val="1007"/>
        </w:numPr>
        <w:pStyle w:val="Compact"/>
      </w:pPr>
      <w:r>
        <w:t xml:space="preserve">Castellanos, A., et al. (2020).</w:t>
      </w:r>
      <w:r>
        <w:t xml:space="preserve"> </w:t>
      </w:r>
      <w:r>
        <w:t xml:space="preserve">“</w:t>
      </w:r>
      <w:r>
        <w:t xml:space="preserve">DropSynth 2.0: high-fidelity multiplexed gene synthesis in emulsions.</w:t>
      </w:r>
      <w:r>
        <w:t xml:space="preserve">”</w:t>
      </w:r>
      <w:r>
        <w:t xml:space="preserve"> </w:t>
      </w:r>
      <w:r>
        <w:rPr>
          <w:iCs/>
          <w:i/>
        </w:rPr>
        <w:t xml:space="preserve">Nucleic Acids Research</w:t>
      </w:r>
      <w:r>
        <w:t xml:space="preserve">, 48(16), e95.</w:t>
      </w:r>
    </w:p>
    <w:p>
      <w:pPr>
        <w:numPr>
          <w:ilvl w:val="0"/>
          <w:numId w:val="1001"/>
        </w:numPr>
        <w:pStyle w:val="Compact"/>
      </w:pPr>
      <w:r>
        <w:rPr>
          <w:bCs/>
          <w:b/>
        </w:rPr>
        <w:t xml:space="preserve">Enzymatic DNA Synthesis (Emerging Technology)</w:t>
      </w:r>
    </w:p>
    <w:p>
      <w:pPr>
        <w:numPr>
          <w:ilvl w:val="1"/>
          <w:numId w:val="1008"/>
        </w:numPr>
        <w:pStyle w:val="Compact"/>
      </w:pPr>
      <w:r>
        <w:t xml:space="preserve">Mordor Intelligence (2025).</w:t>
      </w:r>
      <w:r>
        <w:t xml:space="preserve"> </w:t>
      </w:r>
      <w:r>
        <w:t xml:space="preserve">“</w:t>
      </w:r>
      <w:r>
        <w:t xml:space="preserve">Enzymatic DNA Synthesis Market Size, Share &amp; 2030 Growth Trends Report.</w:t>
      </w:r>
      <w:r>
        <w:t xml:space="preserve">”</w:t>
      </w:r>
    </w:p>
    <w:p>
      <w:pPr>
        <w:numPr>
          <w:ilvl w:val="1"/>
          <w:numId w:val="1008"/>
        </w:numPr>
        <w:pStyle w:val="Compact"/>
      </w:pPr>
      <w:r>
        <w:t xml:space="preserve">Market projection: $296.35M (2024) → $3,159M (2034)</w:t>
      </w:r>
    </w:p>
    <w:p>
      <w:pPr>
        <w:numPr>
          <w:ilvl w:val="0"/>
          <w:numId w:val="1001"/>
        </w:numPr>
        <w:pStyle w:val="Compact"/>
      </w:pPr>
      <w:r>
        <w:rPr>
          <w:bCs/>
          <w:b/>
        </w:rPr>
        <w:t xml:space="preserve">DIY Biotech Community</w:t>
      </w:r>
    </w:p>
    <w:p>
      <w:pPr>
        <w:numPr>
          <w:ilvl w:val="1"/>
          <w:numId w:val="1009"/>
        </w:numPr>
        <w:pStyle w:val="Compact"/>
      </w:pPr>
      <w:r>
        <w:t xml:space="preserve">Wikipedia (2026).</w:t>
      </w:r>
      <w:r>
        <w:t xml:space="preserve"> </w:t>
      </w:r>
      <w:r>
        <w:t xml:space="preserve">“</w:t>
      </w:r>
      <w:r>
        <w:t xml:space="preserve">Do-it-yourself biology.</w:t>
      </w:r>
      <w:r>
        <w:t xml:space="preserve">”</w:t>
      </w:r>
      <w:r>
        <w:t xml:space="preserve"> </w:t>
      </w:r>
      <w:r>
        <w:t xml:space="preserve">Recent update with comprehensive lab inventory.</w:t>
      </w:r>
    </w:p>
    <w:p>
      <w:pPr>
        <w:numPr>
          <w:ilvl w:val="1"/>
          <w:numId w:val="1009"/>
        </w:numPr>
        <w:pStyle w:val="Compact"/>
      </w:pPr>
      <w:r>
        <w:t xml:space="preserve">DIYbio.org support organization: https://DIYbio.org</w:t>
      </w:r>
    </w:p>
    <w:bookmarkEnd w:id="42"/>
    <w:bookmarkStart w:id="43" w:name="policy-regulatory-documents"/>
    <w:p>
      <w:pPr>
        <w:pStyle w:val="Heading3"/>
      </w:pPr>
      <w:r>
        <w:t xml:space="preserve">Policy &amp; Regulatory Documents</w:t>
      </w:r>
    </w:p>
    <w:p>
      <w:pPr>
        <w:numPr>
          <w:ilvl w:val="0"/>
          <w:numId w:val="1010"/>
        </w:numPr>
        <w:pStyle w:val="Compact"/>
      </w:pPr>
      <w:r>
        <w:rPr>
          <w:bCs/>
          <w:b/>
        </w:rPr>
        <w:t xml:space="preserve">HHS Screening Framework Guidance</w:t>
      </w:r>
      <w:r>
        <w:t xml:space="preserve"> </w:t>
      </w:r>
      <w:r>
        <w:t xml:space="preserve">(2023): Predecessory to OSTP framework</w:t>
      </w:r>
    </w:p>
    <w:p>
      <w:pPr>
        <w:numPr>
          <w:ilvl w:val="0"/>
          <w:numId w:val="1010"/>
        </w:numPr>
        <w:pStyle w:val="Compact"/>
      </w:pPr>
      <w:r>
        <w:rPr>
          <w:bCs/>
          <w:b/>
        </w:rPr>
        <w:t xml:space="preserve">NIH NOT-OD-25-012</w:t>
      </w:r>
      <w:r>
        <w:t xml:space="preserve">:</w:t>
      </w:r>
      <w:r>
        <w:t xml:space="preserve"> </w:t>
      </w:r>
      <w:r>
        <w:t xml:space="preserve">“</w:t>
      </w:r>
      <w:r>
        <w:t xml:space="preserve">Notification of NIH Requirements Regarding Procurement of Synthetic Nucleic Acids and Benchtop Nucleic Acid Synthesis Equipment</w:t>
      </w:r>
      <w:r>
        <w:t xml:space="preserve">”</w:t>
      </w:r>
    </w:p>
    <w:p>
      <w:pPr>
        <w:numPr>
          <w:ilvl w:val="0"/>
          <w:numId w:val="1010"/>
        </w:numPr>
        <w:pStyle w:val="Compact"/>
      </w:pPr>
      <w:r>
        <w:rPr>
          <w:bCs/>
          <w:b/>
        </w:rPr>
        <w:t xml:space="preserve">IGSC Harmonized Screening Protocol v3.0</w:t>
      </w:r>
      <w:r>
        <w:t xml:space="preserve"> </w:t>
      </w:r>
      <w:r>
        <w:t xml:space="preserve">(September 2024)</w:t>
      </w:r>
    </w:p>
    <w:p>
      <w:pPr>
        <w:numPr>
          <w:ilvl w:val="0"/>
          <w:numId w:val="1010"/>
        </w:numPr>
        <w:pStyle w:val="Compact"/>
      </w:pPr>
      <w:r>
        <w:rPr>
          <w:bCs/>
          <w:b/>
        </w:rPr>
        <w:t xml:space="preserve">Executive Order 14292</w:t>
      </w:r>
      <w:r>
        <w:t xml:space="preserve"> </w:t>
      </w:r>
      <w:r>
        <w:t xml:space="preserve">(May 5, 2025): Paused OSTP framework implementation; revision underway</w:t>
      </w:r>
    </w:p>
    <w:bookmarkEnd w:id="43"/>
    <w:bookmarkStart w:id="44" w:name="market-supply-chain-intelligence"/>
    <w:p>
      <w:pPr>
        <w:pStyle w:val="Heading3"/>
      </w:pPr>
      <w:r>
        <w:t xml:space="preserve">Market &amp; Supply Chain Intelligence</w:t>
      </w:r>
    </w:p>
    <w:p>
      <w:pPr>
        <w:numPr>
          <w:ilvl w:val="0"/>
          <w:numId w:val="1011"/>
        </w:numPr>
        <w:pStyle w:val="Compact"/>
      </w:pPr>
      <w:r>
        <w:t xml:space="preserve">Phosphoramidite market: $1.2B (2024) → $1.97B (2030) at 7.7% CAGR</w:t>
      </w:r>
    </w:p>
    <w:p>
      <w:pPr>
        <w:numPr>
          <w:ilvl w:val="0"/>
          <w:numId w:val="1011"/>
        </w:numPr>
        <w:pStyle w:val="Compact"/>
      </w:pPr>
      <w:r>
        <w:t xml:space="preserve">DNA synthesis market: $5.7B (2025) → $30.4B (2035) at 18.2% CAGR</w:t>
      </w:r>
    </w:p>
    <w:p>
      <w:pPr>
        <w:numPr>
          <w:ilvl w:val="0"/>
          <w:numId w:val="1011"/>
        </w:numPr>
        <w:pStyle w:val="Compact"/>
      </w:pPr>
      <w:r>
        <w:t xml:space="preserve">Enzymatic DNA synthesis: $296M (2024) → $3.2B (2034) at 26.5% CAGR</w:t>
      </w:r>
    </w:p>
    <w:p>
      <w:r>
        <w:pict>
          <v:rect style="width:0;height:1.5pt" o:hralign="center" o:hrstd="t" o:hr="t"/>
        </w:pict>
      </w:r>
    </w:p>
    <w:bookmarkEnd w:id="44"/>
    <w:bookmarkEnd w:id="45"/>
    <w:bookmarkStart w:id="50" w:name="part-8-preliminary-research-directions"/>
    <w:p>
      <w:pPr>
        <w:pStyle w:val="Heading2"/>
      </w:pPr>
      <w:r>
        <w:t xml:space="preserve">PART 8: PRELIMINARY RESEARCH DIRECTIONS</w:t>
      </w:r>
    </w:p>
    <w:bookmarkStart w:id="46" w:name="X1c7b534c2f19f633bc9ef3c73f08e005a121ec0"/>
    <w:p>
      <w:pPr>
        <w:pStyle w:val="Heading3"/>
      </w:pPr>
      <w:r>
        <w:t xml:space="preserve">Priority 1: Technology Readiness Index (TRI) Expansion</w:t>
      </w:r>
    </w:p>
    <w:p>
      <w:pPr>
        <w:numPr>
          <w:ilvl w:val="0"/>
          <w:numId w:val="1012"/>
        </w:numPr>
        <w:pStyle w:val="Compact"/>
      </w:pPr>
      <w:r>
        <w:t xml:space="preserve">Update OpenIDS cost/feasibility with 2026 data</w:t>
      </w:r>
    </w:p>
    <w:p>
      <w:pPr>
        <w:numPr>
          <w:ilvl w:val="0"/>
          <w:numId w:val="1012"/>
        </w:numPr>
        <w:pStyle w:val="Compact"/>
      </w:pPr>
      <w:r>
        <w:t xml:space="preserve">Characterize DropSynth/electrochemical accessibility thresholds</w:t>
      </w:r>
    </w:p>
    <w:p>
      <w:pPr>
        <w:numPr>
          <w:ilvl w:val="0"/>
          <w:numId w:val="1012"/>
        </w:numPr>
        <w:pStyle w:val="Compact"/>
      </w:pPr>
      <w:r>
        <w:t xml:space="preserve">Model when each approach becomes &lt;$10K, &lt;$5K, &lt;$2K</w:t>
      </w:r>
    </w:p>
    <w:p>
      <w:pPr>
        <w:numPr>
          <w:ilvl w:val="0"/>
          <w:numId w:val="1012"/>
        </w:numPr>
        <w:pStyle w:val="Compact"/>
      </w:pPr>
      <w:r>
        <w:rPr>
          <w:bCs/>
          <w:b/>
        </w:rPr>
        <w:t xml:space="preserve">Deliverable:</w:t>
      </w:r>
      <w:r>
        <w:t xml:space="preserve"> </w:t>
      </w:r>
      <w:r>
        <w:t xml:space="preserve">Interactive spreadsheet + visualization</w:t>
      </w:r>
    </w:p>
    <w:bookmarkEnd w:id="46"/>
    <w:bookmarkStart w:id="47" w:name="priority-2-supply-chain-vulnerability"/>
    <w:p>
      <w:pPr>
        <w:pStyle w:val="Heading3"/>
      </w:pPr>
      <w:r>
        <w:t xml:space="preserve">Priority 2: Supply Chain Vulnerability</w:t>
      </w:r>
    </w:p>
    <w:p>
      <w:pPr>
        <w:numPr>
          <w:ilvl w:val="0"/>
          <w:numId w:val="1013"/>
        </w:numPr>
        <w:pStyle w:val="Compact"/>
      </w:pPr>
      <w:r>
        <w:t xml:space="preserve">Map all critical reagents → suppliers → geographic concentration</w:t>
      </w:r>
    </w:p>
    <w:p>
      <w:pPr>
        <w:numPr>
          <w:ilvl w:val="0"/>
          <w:numId w:val="1013"/>
        </w:numPr>
        <w:pStyle w:val="Compact"/>
      </w:pPr>
      <w:r>
        <w:t xml:space="preserve">Identify which supply chains can be controlled via export restrictions</w:t>
      </w:r>
    </w:p>
    <w:p>
      <w:pPr>
        <w:numPr>
          <w:ilvl w:val="0"/>
          <w:numId w:val="1013"/>
        </w:numPr>
        <w:pStyle w:val="Compact"/>
      </w:pPr>
      <w:r>
        <w:t xml:space="preserve">Model substitution feasibility for each critical input</w:t>
      </w:r>
    </w:p>
    <w:p>
      <w:pPr>
        <w:numPr>
          <w:ilvl w:val="0"/>
          <w:numId w:val="1013"/>
        </w:numPr>
        <w:pStyle w:val="Compact"/>
      </w:pPr>
      <w:r>
        <w:t xml:space="preserve">Assess regulatory capture potential (can licensing/tracking actually work?)</w:t>
      </w:r>
    </w:p>
    <w:p>
      <w:pPr>
        <w:numPr>
          <w:ilvl w:val="0"/>
          <w:numId w:val="1013"/>
        </w:numPr>
        <w:pStyle w:val="Compact"/>
      </w:pPr>
      <w:r>
        <w:rPr>
          <w:bCs/>
          <w:b/>
        </w:rPr>
        <w:t xml:space="preserve">Deliverable:</w:t>
      </w:r>
      <w:r>
        <w:t xml:space="preserve"> </w:t>
      </w:r>
      <w:r>
        <w:t xml:space="preserve">Supply chain network graph + control assessment matrix</w:t>
      </w:r>
    </w:p>
    <w:bookmarkEnd w:id="47"/>
    <w:bookmarkStart w:id="48" w:name="priority-3-detection-forensics"/>
    <w:p>
      <w:pPr>
        <w:pStyle w:val="Heading3"/>
      </w:pPr>
      <w:r>
        <w:t xml:space="preserve">Priority 3: Detection &amp; Forensics</w:t>
      </w:r>
    </w:p>
    <w:p>
      <w:pPr>
        <w:numPr>
          <w:ilvl w:val="0"/>
          <w:numId w:val="1014"/>
        </w:numPr>
        <w:pStyle w:val="Compact"/>
      </w:pPr>
      <w:r>
        <w:t xml:space="preserve">Do DIY-synthesized oligos have characteristic error signatures?</w:t>
      </w:r>
    </w:p>
    <w:p>
      <w:pPr>
        <w:numPr>
          <w:ilvl w:val="0"/>
          <w:numId w:val="1014"/>
        </w:numPr>
        <w:pStyle w:val="Compact"/>
      </w:pPr>
      <w:r>
        <w:t xml:space="preserve">Can you fingerprint the synthesis method from error patterns?</w:t>
      </w:r>
    </w:p>
    <w:p>
      <w:pPr>
        <w:numPr>
          <w:ilvl w:val="0"/>
          <w:numId w:val="1014"/>
        </w:numPr>
        <w:pStyle w:val="Compact"/>
      </w:pPr>
      <w:r>
        <w:t xml:space="preserve">What equipment signatures are detectable (power, waste, timing)?</w:t>
      </w:r>
    </w:p>
    <w:p>
      <w:pPr>
        <w:numPr>
          <w:ilvl w:val="0"/>
          <w:numId w:val="1014"/>
        </w:numPr>
        <w:pStyle w:val="Compact"/>
      </w:pPr>
      <w:r>
        <w:rPr>
          <w:bCs/>
          <w:b/>
        </w:rPr>
        <w:t xml:space="preserve">Deliverable:</w:t>
      </w:r>
      <w:r>
        <w:t xml:space="preserve"> </w:t>
      </w:r>
      <w:r>
        <w:t xml:space="preserve">Forensic framework specification</w:t>
      </w:r>
    </w:p>
    <w:bookmarkEnd w:id="48"/>
    <w:bookmarkStart w:id="49" w:name="priority-4-policy-options-assessment"/>
    <w:p>
      <w:pPr>
        <w:pStyle w:val="Heading3"/>
      </w:pPr>
      <w:r>
        <w:t xml:space="preserve">Priority 4: Policy Options Assessment</w:t>
      </w:r>
    </w:p>
    <w:p>
      <w:pPr>
        <w:numPr>
          <w:ilvl w:val="0"/>
          <w:numId w:val="1015"/>
        </w:numPr>
        <w:pStyle w:val="Compact"/>
      </w:pPr>
      <w:r>
        <w:t xml:space="preserve">Map all possible regulatory levers (supply chain, export controls, equipment licensing, etc.)</w:t>
      </w:r>
    </w:p>
    <w:p>
      <w:pPr>
        <w:numPr>
          <w:ilvl w:val="0"/>
          <w:numId w:val="1015"/>
        </w:numPr>
        <w:pStyle w:val="Compact"/>
      </w:pPr>
      <w:r>
        <w:t xml:space="preserve">Model effectiveness, collateral damage, enforcement cost for each</w:t>
      </w:r>
    </w:p>
    <w:p>
      <w:pPr>
        <w:numPr>
          <w:ilvl w:val="0"/>
          <w:numId w:val="1015"/>
        </w:numPr>
        <w:pStyle w:val="Compact"/>
      </w:pPr>
      <w:r>
        <w:t xml:space="preserve">Game-theoretic analysis: Can policies be maintained long-term or do they erode?</w:t>
      </w:r>
    </w:p>
    <w:p>
      <w:pPr>
        <w:numPr>
          <w:ilvl w:val="0"/>
          <w:numId w:val="1015"/>
        </w:numPr>
        <w:pStyle w:val="Compact"/>
      </w:pPr>
      <w:r>
        <w:rPr>
          <w:bCs/>
          <w:b/>
        </w:rPr>
        <w:t xml:space="preserve">Deliverable:</w:t>
      </w:r>
      <w:r>
        <w:t xml:space="preserve"> </w:t>
      </w:r>
      <w:r>
        <w:t xml:space="preserve">Policy brief (~2000 words) with cost-benefit analysis</w:t>
      </w:r>
    </w:p>
    <w:p>
      <w:r>
        <w:pict>
          <v:rect style="width:0;height:1.5pt" o:hralign="center" o:hrstd="t" o:hr="t"/>
        </w:pict>
      </w:r>
    </w:p>
    <w:bookmarkEnd w:id="49"/>
    <w:bookmarkEnd w:id="50"/>
    <w:bookmarkStart w:id="52" w:name="X5cebf9a45fcaf9ac8757b78733ccf2052d9ed28"/>
    <w:p>
      <w:pPr>
        <w:pStyle w:val="Heading2"/>
      </w:pPr>
      <w:r>
        <w:t xml:space="preserve">APPENDIX: KEY DATA SOURCES &amp; TRACKING RECOMMENDATIONS</w:t>
      </w:r>
    </w:p>
    <w:bookmarkStart w:id="51" w:name="recommended-monitoring-sources"/>
    <w:p>
      <w:pPr>
        <w:pStyle w:val="Heading3"/>
      </w:pPr>
      <w:r>
        <w:t xml:space="preserve">Recommended Monitoring Sources</w:t>
      </w:r>
    </w:p>
    <w:p>
      <w:pPr>
        <w:numPr>
          <w:ilvl w:val="0"/>
          <w:numId w:val="1016"/>
        </w:numPr>
        <w:pStyle w:val="Compact"/>
      </w:pPr>
      <w:r>
        <w:rPr>
          <w:bCs/>
          <w:b/>
        </w:rPr>
        <w:t xml:space="preserve">Technology Development:</w:t>
      </w:r>
    </w:p>
    <w:p>
      <w:pPr>
        <w:numPr>
          <w:ilvl w:val="1"/>
          <w:numId w:val="1017"/>
        </w:numPr>
        <w:pStyle w:val="Compact"/>
      </w:pPr>
      <w:r>
        <w:t xml:space="preserve">GitHub trending in</w:t>
      </w:r>
      <w:r>
        <w:t xml:space="preserve"> </w:t>
      </w:r>
      <w:r>
        <w:rPr>
          <w:rStyle w:val="VerbatimChar"/>
        </w:rPr>
        <w:t xml:space="preserve">dna-synthesis</w:t>
      </w:r>
      <w:r>
        <w:t xml:space="preserve">,</w:t>
      </w:r>
      <w:r>
        <w:t xml:space="preserve"> </w:t>
      </w:r>
      <w:r>
        <w:rPr>
          <w:rStyle w:val="VerbatimChar"/>
        </w:rPr>
        <w:t xml:space="preserve">microfluidics</w:t>
      </w:r>
      <w:r>
        <w:t xml:space="preserve">,</w:t>
      </w:r>
      <w:r>
        <w:t xml:space="preserve"> </w:t>
      </w:r>
      <w:r>
        <w:rPr>
          <w:rStyle w:val="VerbatimChar"/>
        </w:rPr>
        <w:t xml:space="preserve">biotech</w:t>
      </w:r>
      <w:r>
        <w:t xml:space="preserve"> </w:t>
      </w:r>
      <w:r>
        <w:t xml:space="preserve">tags</w:t>
      </w:r>
    </w:p>
    <w:p>
      <w:pPr>
        <w:numPr>
          <w:ilvl w:val="1"/>
          <w:numId w:val="1017"/>
        </w:numPr>
        <w:pStyle w:val="Compact"/>
      </w:pPr>
      <w:r>
        <w:t xml:space="preserve">PLOS ONE,</w:t>
      </w:r>
      <w:r>
        <w:t xml:space="preserve"> </w:t>
      </w:r>
      <w:r>
        <w:rPr>
          <w:iCs/>
          <w:i/>
        </w:rPr>
        <w:t xml:space="preserve">Nature Biotechnology</w:t>
      </w:r>
      <w:r>
        <w:t xml:space="preserve">,</w:t>
      </w:r>
      <w:r>
        <w:t xml:space="preserve"> </w:t>
      </w:r>
      <w:r>
        <w:rPr>
          <w:iCs/>
          <w:i/>
        </w:rPr>
        <w:t xml:space="preserve">Science</w:t>
      </w:r>
      <w:r>
        <w:t xml:space="preserve"> </w:t>
      </w:r>
      <w:r>
        <w:t xml:space="preserve">for preprints</w:t>
      </w:r>
    </w:p>
    <w:p>
      <w:pPr>
        <w:numPr>
          <w:ilvl w:val="1"/>
          <w:numId w:val="1017"/>
        </w:numPr>
        <w:pStyle w:val="Compact"/>
      </w:pPr>
      <w:r>
        <w:t xml:space="preserve">OpenIDS GitHub issues/discussions for community troubleshooting</w:t>
      </w:r>
    </w:p>
    <w:p>
      <w:pPr>
        <w:numPr>
          <w:ilvl w:val="0"/>
          <w:numId w:val="1016"/>
        </w:numPr>
        <w:pStyle w:val="Compact"/>
      </w:pPr>
      <w:r>
        <w:rPr>
          <w:bCs/>
          <w:b/>
        </w:rPr>
        <w:t xml:space="preserve">Market Intelligence:</w:t>
      </w:r>
    </w:p>
    <w:p>
      <w:pPr>
        <w:numPr>
          <w:ilvl w:val="1"/>
          <w:numId w:val="1018"/>
        </w:numPr>
        <w:pStyle w:val="Compact"/>
      </w:pPr>
      <w:r>
        <w:t xml:space="preserve">Synthesis.cc (James Field’s cost tracking): http://www.synthesis.cc</w:t>
      </w:r>
    </w:p>
    <w:p>
      <w:pPr>
        <w:numPr>
          <w:ilvl w:val="1"/>
          <w:numId w:val="1018"/>
        </w:numPr>
        <w:pStyle w:val="Compact"/>
      </w:pPr>
      <w:r>
        <w:t xml:space="preserve">Market research reports (Mordor Intelligence, Global Market Insights, Precedence Research)</w:t>
      </w:r>
    </w:p>
    <w:p>
      <w:pPr>
        <w:numPr>
          <w:ilvl w:val="1"/>
          <w:numId w:val="1018"/>
        </w:numPr>
        <w:pStyle w:val="Compact"/>
      </w:pPr>
      <w:r>
        <w:t xml:space="preserve">Earnings calls from Twist Bioscience, IDT, GenScript (publicly traded/reported)</w:t>
      </w:r>
    </w:p>
    <w:p>
      <w:pPr>
        <w:numPr>
          <w:ilvl w:val="0"/>
          <w:numId w:val="1016"/>
        </w:numPr>
        <w:pStyle w:val="Compact"/>
      </w:pPr>
      <w:r>
        <w:rPr>
          <w:bCs/>
          <w:b/>
        </w:rPr>
        <w:t xml:space="preserve">Policy Evolution:</w:t>
      </w:r>
    </w:p>
    <w:p>
      <w:pPr>
        <w:numPr>
          <w:ilvl w:val="1"/>
          <w:numId w:val="1019"/>
        </w:numPr>
        <w:pStyle w:val="Compact"/>
      </w:pPr>
      <w:r>
        <w:t xml:space="preserve">ASPR S3 (HHS biosecurity): https://aspr.hhs.gov/S3/</w:t>
      </w:r>
    </w:p>
    <w:p>
      <w:pPr>
        <w:numPr>
          <w:ilvl w:val="1"/>
          <w:numId w:val="1019"/>
        </w:numPr>
        <w:pStyle w:val="Compact"/>
      </w:pPr>
      <w:r>
        <w:t xml:space="preserve">NIH grants.gov for funding condition updates</w:t>
      </w:r>
    </w:p>
    <w:p>
      <w:pPr>
        <w:numPr>
          <w:ilvl w:val="1"/>
          <w:numId w:val="1019"/>
        </w:numPr>
        <w:pStyle w:val="Compact"/>
      </w:pPr>
      <w:r>
        <w:t xml:space="preserve">IGSC announcements: https://www.igsc.org/ (member communications)</w:t>
      </w:r>
    </w:p>
    <w:p>
      <w:pPr>
        <w:numPr>
          <w:ilvl w:val="0"/>
          <w:numId w:val="1016"/>
        </w:numPr>
        <w:pStyle w:val="Compact"/>
      </w:pPr>
      <w:r>
        <w:rPr>
          <w:bCs/>
          <w:b/>
        </w:rPr>
        <w:t xml:space="preserve">Community Activity:</w:t>
      </w:r>
    </w:p>
    <w:p>
      <w:pPr>
        <w:numPr>
          <w:ilvl w:val="1"/>
          <w:numId w:val="1020"/>
        </w:numPr>
        <w:pStyle w:val="Compact"/>
      </w:pPr>
      <w:r>
        <w:t xml:space="preserve">DIYbio.org forum activity &amp; new lab announcements</w:t>
      </w:r>
    </w:p>
    <w:p>
      <w:pPr>
        <w:numPr>
          <w:ilvl w:val="1"/>
          <w:numId w:val="1020"/>
        </w:numPr>
        <w:pStyle w:val="Compact"/>
      </w:pPr>
      <w:r>
        <w:t xml:space="preserve">BioCurious, Genspace, other community lab project databases</w:t>
      </w:r>
    </w:p>
    <w:p>
      <w:pPr>
        <w:numPr>
          <w:ilvl w:val="1"/>
          <w:numId w:val="1020"/>
        </w:numPr>
        <w:pStyle w:val="Compact"/>
      </w:pPr>
      <w:r>
        <w:t xml:space="preserve">ArXiv preprints in</w:t>
      </w:r>
      <w:r>
        <w:t xml:space="preserve"> </w:t>
      </w:r>
      <w:r>
        <w:rPr>
          <w:rStyle w:val="VerbatimChar"/>
        </w:rPr>
        <w:t xml:space="preserve">q-bio</w:t>
      </w:r>
      <w:r>
        <w:t xml:space="preserve"> </w:t>
      </w:r>
      <w:r>
        <w:t xml:space="preserve">category (biology computational methods)</w:t>
      </w:r>
    </w:p>
    <w:p>
      <w:r>
        <w:pict>
          <v:rect style="width:0;height:1.5pt" o:hralign="center" o:hrstd="t" o:hr="t"/>
        </w:pict>
      </w:r>
    </w:p>
    <w:bookmarkEnd w:id="51"/>
    <w:bookmarkEnd w:id="52"/>
    <w:bookmarkStart w:id="53" w:name="X94852459e441a8d4c6814acbae1499344be522b"/>
    <w:p>
      <w:pPr>
        <w:pStyle w:val="Heading2"/>
      </w:pPr>
      <w:r>
        <w:t xml:space="preserve">SUMMARY: RESEARCH LANDSCAPE AS OF JULY 2026</w:t>
      </w:r>
    </w:p>
    <w:p>
      <w:pPr>
        <w:pStyle w:val="FirstParagraph"/>
      </w:pPr>
      <w:r>
        <w:rPr>
          <w:bCs/>
          <w:b/>
        </w:rPr>
        <w:t xml:space="preserve">The Critical Inflection Point:</w:t>
      </w:r>
      <w:r>
        <w:t xml:space="preserve"> </w:t>
      </w:r>
      <w:r>
        <w:t xml:space="preserve">- OpenIDS publication (Feb 2024) + OpenIDS2 (Dec 2025) represent mainstream validation of DIY inkjet synthesis</w:t>
      </w:r>
      <w:r>
        <w:t xml:space="preserve"> </w:t>
      </w:r>
      <w:r>
        <w:t xml:space="preserve">- OSTP framework (April 2024) + framework pause (May 2025) signal policy uncertainty and ongoing debate over feasibility</w:t>
      </w:r>
      <w:r>
        <w:t xml:space="preserve"> </w:t>
      </w:r>
      <w:r>
        <w:t xml:space="preserve">- Wittmann et al. (Oct 2025) demonstrates that</w:t>
      </w:r>
      <w:r>
        <w:t xml:space="preserve"> </w:t>
      </w:r>
      <w:r>
        <w:rPr>
          <w:bCs/>
          <w:b/>
        </w:rPr>
        <w:t xml:space="preserve">synthesis screening has fundamental limitations</w:t>
      </w:r>
      <w:r>
        <w:t xml:space="preserve"> </w:t>
      </w:r>
      <w:r>
        <w:t xml:space="preserve">(function-based design evades sequence similarity detection)</w:t>
      </w:r>
      <w:r>
        <w:t xml:space="preserve"> </w:t>
      </w:r>
      <w:r>
        <w:t xml:space="preserve">- Market growth (16-22% CAGR for DNA synthesis) + benchtop synthesizer expansion (67.5% market share) indicate rapid democratization</w:t>
      </w:r>
    </w:p>
    <w:p>
      <w:pPr>
        <w:pStyle w:val="BodyText"/>
      </w:pPr>
      <w:r>
        <w:rPr>
          <w:bCs/>
          <w:b/>
        </w:rPr>
        <w:t xml:space="preserve">Forward-Looking Assessment:</w:t>
      </w:r>
      <w:r>
        <w:t xml:space="preserve"> </w:t>
      </w:r>
      <w:r>
        <w:t xml:space="preserve">By 2027-2028, the convergence of:</w:t>
      </w:r>
      <w:r>
        <w:t xml:space="preserve"> </w:t>
      </w:r>
      <w:r>
        <w:t xml:space="preserve">1. Lower-cost DIY hardware ($5-10K systems becoming standard)</w:t>
      </w:r>
      <w:r>
        <w:t xml:space="preserve"> </w:t>
      </w:r>
      <w:r>
        <w:t xml:space="preserve">2. Accessible reagent supply (phosphoramidites commodity-priced)</w:t>
      </w:r>
      <w:r>
        <w:t xml:space="preserve"> </w:t>
      </w:r>
      <w:r>
        <w:t xml:space="preserve">3. Unregulated solvents (propylene carbonate eliminates acetonitrile bottleneck)</w:t>
      </w:r>
      <w:r>
        <w:t xml:space="preserve"> </w:t>
      </w:r>
      <w:r>
        <w:t xml:space="preserve">4. Community lab infrastructure (92+ biohacker spaces with equipment)</w:t>
      </w:r>
    </w:p>
    <w:p>
      <w:pPr>
        <w:pStyle w:val="BodyText"/>
      </w:pPr>
      <w:r>
        <w:t xml:space="preserve">…suggests</w:t>
      </w:r>
      <w:r>
        <w:t xml:space="preserve"> </w:t>
      </w:r>
      <w:r>
        <w:rPr>
          <w:bCs/>
          <w:b/>
        </w:rPr>
        <w:t xml:space="preserve">synthesis screening as a biosecurity control becomes increasingly irrelevant</w:t>
      </w:r>
      <w:r>
        <w:t xml:space="preserve"> </w:t>
      </w:r>
      <w:r>
        <w:t xml:space="preserve">not through targeted evasion, but through technology democratization.</w:t>
      </w:r>
    </w:p>
    <w:p>
      <w:pPr>
        <w:pStyle w:val="BodyText"/>
      </w:pPr>
      <w:r>
        <w:t xml:space="preserve">The real biosecurity problem shifts from</w:t>
      </w:r>
      <w:r>
        <w:t xml:space="preserve"> </w:t>
      </w:r>
      <w:r>
        <w:t xml:space="preserve">“</w:t>
      </w:r>
      <w:r>
        <w:t xml:space="preserve">prevent DIY synthesis</w:t>
      </w:r>
      <w:r>
        <w:t xml:space="preserve">”</w:t>
      </w:r>
      <w:r>
        <w:t xml:space="preserve"> </w:t>
      </w:r>
      <w:r>
        <w:t xml:space="preserve">to</w:t>
      </w:r>
      <w:r>
        <w:t xml:space="preserve"> </w:t>
      </w:r>
      <w:r>
        <w:t xml:space="preserve">“</w:t>
      </w:r>
      <w:r>
        <w:t xml:space="preserve">govern a world where synthesis is decentralized.</w:t>
      </w:r>
      <w:r>
        <w:t xml:space="preserve">”</w:t>
      </w:r>
    </w:p>
    <w:p>
      <w:r>
        <w:pict>
          <v:rect style="width:0;height:1.5pt" o:hralign="center" o:hrstd="t" o:hr="t"/>
        </w:pict>
      </w:r>
    </w:p>
    <w:p>
      <w:pPr>
        <w:pStyle w:val="FirstParagraph"/>
      </w:pPr>
      <w:r>
        <w:rPr>
          <w:bCs/>
          <w:b/>
        </w:rPr>
        <w:t xml:space="preserve">Compiled by:</w:t>
      </w:r>
      <w:r>
        <w:t xml:space="preserve"> </w:t>
      </w:r>
      <w:r>
        <w:t xml:space="preserve">Olena Didenko, UCL Wolfson Institute for Biomedical Research</w:t>
      </w:r>
      <w:r>
        <w:br/>
      </w:r>
      <w:r>
        <w:rPr>
          <w:bCs/>
          <w:b/>
        </w:rPr>
        <w:t xml:space="preserve">Research Direction:</w:t>
      </w:r>
      <w:r>
        <w:t xml:space="preserve"> </w:t>
      </w:r>
      <w:r>
        <w:t xml:space="preserve">Approved by Rassin Lababidi (IBBIS), AIxBio ERA Fellowship</w:t>
      </w:r>
      <w:r>
        <w:br/>
      </w:r>
      <w:r>
        <w:rPr>
          <w:bCs/>
          <w:b/>
        </w:rPr>
        <w:t xml:space="preserve">Date:</w:t>
      </w:r>
      <w:r>
        <w:t xml:space="preserve"> </w:t>
      </w:r>
      <w:r>
        <w:t xml:space="preserve">July 7, 2026</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2026-07-07T09:45:07Z</dcterms:created>
  <dcterms:modified xsi:type="dcterms:W3CDTF">2026-07-07T09:45:07Z</dcterms:modified>
</cp:coreProperties>
</file>

<file path=docProps/custom.xml><?xml version="1.0" encoding="utf-8"?>
<Properties xmlns="http://schemas.openxmlformats.org/officeDocument/2006/custom-properties" xmlns:vt="http://schemas.openxmlformats.org/officeDocument/2006/docPropsVTypes"/>
</file>