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 · SCALE DI VALUTAZIONE DI DEPRESSIONE E ANSIA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BDI-II · SCHEDA DI SIGLATURA E INTERPRETAZIONE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Registrazione dei punteggi del Beck Depression Inventory II (21 item, punteggio 0-3).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DATI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56"/>
        <w:gridCol w:w="7482"/>
      </w:tblGrid>
      <w:tr>
        <w:trPr>
          <w:cantSplit/>
          <w:trHeight w:val="400" w:hRule="atLeast"/>
        </w:trPr>
        <w:tc>
          <w:tcPr>
            <w:tcW w:type="dxa" w:w="21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Paziente / codice:</w:t>
            </w:r>
          </w:p>
        </w:tc>
        <w:tc>
          <w:tcPr>
            <w:tcW w:type="dxa" w:w="748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308"/>
        <w:gridCol w:w="200"/>
        <w:gridCol w:w="2870"/>
        <w:gridCol w:w="2308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somministrazione:</w:t>
            </w:r>
          </w:p>
        </w:tc>
        <w:tc>
          <w:tcPr>
            <w:tcW w:type="dxa" w:w="230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4"/>
        <w:gridCol w:w="7584"/>
      </w:tblGrid>
      <w:tr>
        <w:trPr>
          <w:cantSplit/>
          <w:trHeight w:val="400" w:hRule="atLeast"/>
        </w:trPr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Somministrato da:</w:t>
            </w:r>
          </w:p>
        </w:tc>
        <w:tc>
          <w:tcPr>
            <w:tcW w:type="dxa" w:w="758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REGISTRAZIONE DEI PUNTEGGI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1912"/>
        <w:gridCol w:w="1300"/>
        <w:gridCol w:w="1912"/>
        <w:gridCol w:w="1300"/>
        <w:gridCol w:w="1914"/>
      </w:tblGrid>
      <w:tr>
        <w:trPr>
          <w:cantSplit/>
          <w:tblHeader/>
        </w:trPr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Item</w:t>
            </w:r>
          </w:p>
        </w:tc>
        <w:tc>
          <w:tcPr>
            <w:tcW w:type="dxa" w:w="1912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Punteggio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Item</w:t>
            </w:r>
          </w:p>
        </w:tc>
        <w:tc>
          <w:tcPr>
            <w:tcW w:type="dxa" w:w="1912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Punteggio</w:t>
            </w:r>
          </w:p>
        </w:tc>
        <w:tc>
          <w:tcPr>
            <w:tcW w:type="dxa" w:w="13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Item</w:t>
            </w:r>
          </w:p>
        </w:tc>
        <w:tc>
          <w:tcPr>
            <w:tcW w:type="dxa" w:w="1914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Punteggio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</w:t>
            </w:r>
          </w:p>
        </w:tc>
        <w:tc>
          <w:tcPr>
            <w:tcW w:type="dxa" w:w="1912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8</w:t>
            </w:r>
          </w:p>
        </w:tc>
        <w:tc>
          <w:tcPr>
            <w:tcW w:type="dxa" w:w="1912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15</w:t>
            </w:r>
          </w:p>
        </w:tc>
        <w:tc>
          <w:tcPr>
            <w:tcW w:type="dxa" w:w="1914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</w:t>
            </w:r>
          </w:p>
        </w:tc>
        <w:tc>
          <w:tcPr>
            <w:tcW w:type="dxa" w:w="1912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9</w:t>
            </w:r>
          </w:p>
        </w:tc>
        <w:tc>
          <w:tcPr>
            <w:tcW w:type="dxa" w:w="1912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16</w:t>
            </w:r>
          </w:p>
        </w:tc>
        <w:tc>
          <w:tcPr>
            <w:tcW w:type="dxa" w:w="1914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3</w:t>
            </w:r>
          </w:p>
        </w:tc>
        <w:tc>
          <w:tcPr>
            <w:tcW w:type="dxa" w:w="1912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10</w:t>
            </w:r>
          </w:p>
        </w:tc>
        <w:tc>
          <w:tcPr>
            <w:tcW w:type="dxa" w:w="1912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17</w:t>
            </w:r>
          </w:p>
        </w:tc>
        <w:tc>
          <w:tcPr>
            <w:tcW w:type="dxa" w:w="1914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4</w:t>
            </w:r>
          </w:p>
        </w:tc>
        <w:tc>
          <w:tcPr>
            <w:tcW w:type="dxa" w:w="1912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11</w:t>
            </w:r>
          </w:p>
        </w:tc>
        <w:tc>
          <w:tcPr>
            <w:tcW w:type="dxa" w:w="1912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18</w:t>
            </w:r>
          </w:p>
        </w:tc>
        <w:tc>
          <w:tcPr>
            <w:tcW w:type="dxa" w:w="1914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5</w:t>
            </w:r>
          </w:p>
        </w:tc>
        <w:tc>
          <w:tcPr>
            <w:tcW w:type="dxa" w:w="1912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12</w:t>
            </w:r>
          </w:p>
        </w:tc>
        <w:tc>
          <w:tcPr>
            <w:tcW w:type="dxa" w:w="1912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19</w:t>
            </w:r>
          </w:p>
        </w:tc>
        <w:tc>
          <w:tcPr>
            <w:tcW w:type="dxa" w:w="1914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6</w:t>
            </w:r>
          </w:p>
        </w:tc>
        <w:tc>
          <w:tcPr>
            <w:tcW w:type="dxa" w:w="1912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13</w:t>
            </w:r>
          </w:p>
        </w:tc>
        <w:tc>
          <w:tcPr>
            <w:tcW w:type="dxa" w:w="1912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20</w:t>
            </w:r>
          </w:p>
        </w:tc>
        <w:tc>
          <w:tcPr>
            <w:tcW w:type="dxa" w:w="1914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7</w:t>
            </w:r>
          </w:p>
        </w:tc>
        <w:tc>
          <w:tcPr>
            <w:tcW w:type="dxa" w:w="1912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14</w:t>
            </w:r>
          </w:p>
        </w:tc>
        <w:tc>
          <w:tcPr>
            <w:tcW w:type="dxa" w:w="1912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13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21</w:t>
            </w:r>
          </w:p>
        </w:tc>
        <w:tc>
          <w:tcPr>
            <w:tcW w:type="dxa" w:w="1914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Punteggio totale (0-63):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INTERPRETAZIONE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Punteggio</w:t>
            </w:r>
          </w:p>
        </w:tc>
        <w:tc>
          <w:tcPr>
            <w:tcW w:type="dxa" w:w="72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Livello di gravità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0-13</w:t>
            </w:r>
          </w:p>
        </w:tc>
        <w:tc>
          <w:tcPr>
            <w:tcW w:type="dxa" w:w="7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Minimo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14-19</w:t>
            </w:r>
          </w:p>
        </w:tc>
        <w:tc>
          <w:tcPr>
            <w:tcW w:type="dxa" w:w="7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Lieve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20-28</w:t>
            </w:r>
          </w:p>
        </w:tc>
        <w:tc>
          <w:tcPr>
            <w:tcW w:type="dxa" w:w="7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Moderato</w:t>
            </w:r>
          </w:p>
        </w:tc>
      </w:tr>
      <w:tr>
        <w:trPr>
          <w:cantSplit/>
          <w:trHeight w:val="430" w:hRule="atLeast"/>
        </w:trPr>
        <w:tc>
          <w:tcPr>
            <w:tcW w:type="dxa" w:w="24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29-63</w:t>
            </w:r>
          </w:p>
        </w:tc>
        <w:tc>
          <w:tcPr>
            <w:tcW w:type="dxa" w:w="72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Grave</w:t>
            </w:r>
          </w:p>
        </w:tc>
      </w:tr>
    </w:tbl>
    <w:p>
      <w:pPr>
        <w:spacing w:after="100" w:before="0"/>
      </w:pPr>
    </w:p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Item 9 (pensieri o desideri suicidari) uguale o superiore a 1: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Sì: valutare il rischio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OSSERVAZIONI CLINICHE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  <w:trHeight w:val="42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i/>
          <w:iCs/>
          <w:color w:val="6E7486"/>
          <w:sz w:val="17"/>
          <w:szCs w:val="17"/>
        </w:rPr>
        <w:t xml:space="preserve">Nota sui diritti: gli item di questo strumento sono protetti da copyright e non sono riprodotti. Utilizza il protocollo originale acquistato dall'editore autorizzato e registra qui i punteggi.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professionista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b w:val="false"/>
              <w:bCs w:val="false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BDI-II · Scheda di siglatura e interpretazione</dc:title>
  <dc:creator>Kit</dc:creator>
  <cp:lastModifiedBy>Un-named</cp:lastModifiedBy>
  <cp:revision>1</cp:revision>
  <dcterms:created xsi:type="dcterms:W3CDTF">2026-10-29T12:54:18.807Z</dcterms:created>
  <dcterms:modified xsi:type="dcterms:W3CDTF">2026-10-29T12:54:18.807Z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