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 w:lang="pt-BR"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 w:lang="pt-BR"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 w:lang="pt-BR"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 w:lang="pt-BR"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 w:lang="pt-BR"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 w:lang="pt-BR"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 w:lang="pt-BR"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 w:lang="pt-BR"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 w:lang="pt-BR"/>
        <w:t>SQUAD SHOES · ETIQUETAGEM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 w:lang="pt-BR"/>
        <w:t>Gerador padronizado de etiquetas L42PRO</w:t>
      </w:r>
    </w:p>
    <w:p w14:paraId="0000000B">
      <w:pPr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>
            <w:pPr>
              <w:spacing w:after="20"/>
            </w:pPr>
            <w:r>
              <w:rPr w:lang="pt-BR"/>
            </w:r>
            <w:r>
              <w:rPr w:lang="pt-BR">
                <w:b/>
                <w:color w:val="44546A"/>
                <w:sz w:val="14"/>
              </w:rPr>
              <w:t>STATUS</w:t>
            </w:r>
          </w:p>
          <w:p>
            <w:pPr>
              <w:spacing w:after="0"/>
            </w:pPr>
            <w:r>
              <w:rPr w:lang="pt-BR">
                <w:b/>
                <w:color w:val="17365D"/>
                <w:sz w:val="18"/>
              </w:rPr>
              <w:t>APROVADO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 w:lang="pt-BR">
                <w:rtl w:val="0"/>
              </w:rPr>
            </w:r>
          </w:p>
        </w:tc>
        <w:tc>
          <w:tcPr/>
          <w:p>
            <w:pPr>
              <w:spacing w:after="20"/>
            </w:pPr>
            <w:r>
              <w:rPr w:lang="pt-BR"/>
            </w:r>
            <w:r>
              <w:rPr w:lang="pt-BR">
                <w:b/>
                <w:color w:val="44546A"/>
                <w:sz w:val="14"/>
              </w:rPr>
              <w:t>RESPONSÁVEL</w:t>
            </w:r>
          </w:p>
          <w:p>
            <w:pPr>
              <w:spacing w:after="0"/>
            </w:pPr>
            <w:r>
              <w:rPr w:lang="pt-BR">
                <w:b/>
                <w:color w:val="17365D"/>
                <w:sz w:val="18"/>
              </w:rPr>
              <w:t>Operações / Engenharia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 w:lang="pt-BR">
                <w:rtl w:val="0"/>
              </w:rPr>
            </w:r>
          </w:p>
        </w:tc>
        <w:tc>
          <w:tcPr/>
          <w:p>
            <w:pPr>
              <w:spacing w:after="20"/>
            </w:pPr>
            <w:r>
              <w:rPr w:lang="pt-BR"/>
            </w:r>
            <w:r>
              <w:rPr w:lang="pt-BR">
                <w:b/>
                <w:color w:val="44546A"/>
                <w:sz w:val="14"/>
              </w:rPr>
              <w:t>ATUALIZADO EM</w:t>
            </w:r>
          </w:p>
          <w:p>
            <w:pPr>
              <w:spacing w:after="0"/>
            </w:pPr>
            <w:r>
              <w:rPr w:lang="pt-BR">
                <w:b/>
                <w:color w:val="17365D"/>
                <w:sz w:val="18"/>
              </w:rPr>
              <w:t>26 AGO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>
                <w:b/>
                <w:color w:val="17365D"/>
              </w:rPr>
            </w:r>
            <w:r>
              <w:rPr w:lang="pt-BR">
                <w:rFonts w:ascii="Arial" w:hAnsi="Arial"/>
                <w:b w:val="0"/>
                <w:color w:val="1F2937"/>
                <w:sz w:val="17"/>
              </w:rPr>
              <w:t>Autores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7"/>
              </w:rPr>
              <w:t>Codex e Squad Shoes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>
                <w:b/>
                <w:color w:val="17365D"/>
              </w:rPr>
            </w:r>
            <w:r>
              <w:rPr w:lang="pt-BR">
                <w:rFonts w:ascii="Arial" w:hAnsi="Arial"/>
                <w:b w:val="0"/>
                <w:color w:val="1F2937"/>
                <w:sz w:val="17"/>
              </w:rPr>
              <w:t>Revisores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7"/>
              </w:rPr>
              <w:t>Operações, Produção e Engenharia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>
                <w:b/>
                <w:color w:val="17365D"/>
              </w:rPr>
            </w:r>
            <w:r>
              <w:rPr w:lang="pt-BR">
                <w:rFonts w:ascii="Arial" w:hAnsi="Arial"/>
                <w:b w:val="0"/>
                <w:color w:val="1F2937"/>
                <w:sz w:val="17"/>
              </w:rPr>
              <w:t>Documentos relacionados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7"/>
              </w:rPr>
              <w:t>AGENTS.md · Manual oficial Elgin L42PRO Full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>
                <w:b/>
                <w:color w:val="17365D"/>
              </w:rPr>
            </w:r>
            <w:r>
              <w:rPr w:lang="pt-BR">
                <w:rFonts w:ascii="Arial" w:hAnsi="Arial"/>
                <w:b w:val="0"/>
                <w:color w:val="1F2937"/>
                <w:sz w:val="17"/>
              </w:rPr>
              <w:t>Escopo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7"/>
              </w:rPr>
              <w:t>Gerador textual 2-up para amostras, com modelos oficiais imutáveis e rastreabilidade.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 w:lang="pt-BR"/>
        <w:t>1. Resumo executivo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 w:lang="pt-BR"/>
        <w:t>O sistema substitui a gestão livre de modelos por um gerador padronizado de etiquetas textuais para a Elgin L42PRO. O operador alterna somente a finalidade — Caixa externa ou Embalagem individual — e informa referência, cor, material e número de cópias.</w:t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 w:lang="pt-BR"/>
        <w:t>Os dois layouts mantêm a mesma geometria física: etiqueta de 50 × 30 mm, duas colunas, vão central de 6 mm, página de 106 × 30 mm e área segura de 48 × 28 mm. O resultado é um PDF vetorial rastreado em print_jobs; as definições oficiais ficam imutáveis no Supabase.</w:t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 w:lang="pt-BR"/>
        <w:t>2. Objetivos e não objetivos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Objetivos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Não objetivos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Oferecer exatamente duas finalidades padronizadas.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Redimensionar a etiqueta logística operacional de 192 × 132 mm.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Gerar PDF vetorial 106 × 30 mm com imposição 2-up.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Imprimir diretamente via USB ou ocultar a caixa de diálogo do sistema.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Coletar apenas referência, cor, material e cópias.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Inferir margens externas, passo vertical ou especificação do rolo.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Retirar o CRUD livre sem apagar histórico.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Alterar o conteúdo ou fluxo da Etiqueta de Cliente.</w:t>
            </w:r>
          </w:p>
        </w:tc>
      </w:tr>
    </w:tbl>
    <w:p w14:paraId="00000035">
      <w:pPr>
        <w:spacing w:before="0" w:line="216" w:lineRule="auto" w:after="0"/>
        <w:rPr>
          <w:rFonts w:ascii="Helvetica Neue" w:cs="Helvetica Neue" w:eastAsia="Helvetica Neue" w:hAnsi="Helvetica Neue"/>
          <w:color w:val="000000"/>
        </w:rPr>
      </w:pPr>
      <w:r>
        <w:rPr w:lang="pt-BR"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 w:lang="pt-BR"/>
        <w:t>3. Contexto e problema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 w:lang="pt-BR"/>
        <w:t>A tela anterior permitia criar, editar, duplicar e excluir modelos com dimensões, DPI e elementos arbitrários. Esse caminho também era consumido pela impressão de produção, enquanto o banco concedia escrita direta em label_templates a qualquer usuário aprovado. O resultado era risco de deriva geométrica, modelos locais reaparecendo e baixa previsibilidade operacional.</w:t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 w:lang="pt-BR"/>
        <w:t>A fronteira nova é deliberadamente pequena. A interface escolhe uma das duas organizações textuais; o motor valida e normaliza os campos, impõe pares no formato físico canônico e desenha o PDF. O princípio orientador é: finalidade altera a hierarquia visual, nunca a dimensão da etiqueta.</w:t>
      </w:r>
    </w:p>
    <w:p w14:paraId="00000039">
      <w:pPr>
        <w:pStyle w:val="Heading1"/>
        <w:pageBreakBefore/>
        <w:rPr>
          <w:rFonts w:ascii="Helvetica Neue" w:cs="Helvetica Neue" w:eastAsia="Helvetica Neue" w:hAnsi="Helvetica Neue"/>
        </w:rPr>
      </w:pPr>
      <w:r>
        <w:rPr w:lang="pt-BR"/>
        <w:t>4. Arquitetura proposta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p w14:paraId="0000003B">
      <w:pPr>
        <w:jc w:val="center"/>
        <w:rPr>
          <w:rFonts w:ascii="Helvetica Neue" w:cs="Helvetica Neue" w:eastAsia="Helvetica Neue" w:hAnsi="Helvetica Neue"/>
        </w:rPr>
      </w:pPr>
      <w:r>
        <w:rPr w:lang="pt-BR"/>
        <w:drawing>
          <wp:inline>
            <wp:extent cx="6400800" cy="2809240"/>
            <wp:docPr id="1" name="Picture 1" title="Arquitetura do gerador L42PRO" descr="Fluxo do gerador React para validação e imposição, PDF vetorial e impressora L42PRO, com registro imutável de modelos e auditoria em print_job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092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 w:lang="pt-BR"/>
        <w:t>Figura 1. Arquitetura de geração e governança das etiquetas padronizadas.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 w:lang="pt-BR">
          <w:rtl w:val="0"/>
        </w:rPr>
      </w:r>
    </w:p>
    <w:p w14:paraId="0000003E">
      <w:pPr>
        <w:pStyle w:val="Heading2"/>
        <w:spacing w:after="90" w:line="280" w:lineRule="auto"/>
        <w:rPr/>
      </w:pPr>
      <w:r>
        <w:rPr w:lang="pt-BR"/>
        <w:t>Componentes principais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 w:lang="pt-BR"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Componente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Responsabilidade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Armazenamento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Falha segura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Workspace React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Escolher finalidade, editar amostras e exibir prévia proporcional.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Estado local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Bloqueia geração e mostra erro de campo.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Validação / imposição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Normalizar texto, validar cópias e posicionar slots em 0 e 56 mm.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Memória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Não cria PDF parcial.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Renderizador PDF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Desenhar texto vetorial na página física 106 × 30 mm.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Arquivo local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Não inicia download nem job concluído.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Registro oficial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Expor somente dois modelos ativos e imutáveis.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Supabase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Falha fechada para metadados e escrita.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Auditoria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Registrar finalidade, UUID do modelo e status de geração.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print_jobs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Marca falha quando o pós-processamento falha.</w:t>
            </w:r>
          </w:p>
        </w:tc>
      </w:tr>
    </w:tbl>
    <w:p w14:paraId="00000058">
      <w:pPr>
        <w:spacing w:before="0" w:line="120" w:lineRule="auto" w:after="0"/>
        <w:rPr>
          <w:rFonts w:ascii="Helvetica Neue" w:cs="Helvetica Neue" w:eastAsia="Helvetica Neue" w:hAnsi="Helvetica Neue"/>
          <w:color w:val="000000"/>
        </w:rPr>
      </w:pPr>
      <w:r>
        <w:rPr w:lang="pt-BR">
          <w:rtl w:val="0"/>
        </w:rPr>
      </w:r>
    </w:p>
    <w:p w14:paraId="00000059">
      <w:pPr>
        <w:spacing w:before="0" w:line="120" w:lineRule="auto" w:after="0"/>
        <w:rPr>
          <w:rFonts w:ascii="Helvetica Neue" w:cs="Helvetica Neue" w:eastAsia="Helvetica Neue" w:hAnsi="Helvetica Neue"/>
          <w:color w:val="000000"/>
        </w:rPr>
      </w:pPr>
      <w:r>
        <w:rPr w:lang="pt-BR"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 w:lang="pt-BR"/>
        <w:t>5. Ciclo de geração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O operador abre /label-system?tab=templates e escolhe Caixa externa ou Embalagem individual.</w:t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A tela exige referência, cor e material; cópias deve ser inteiro entre 1 e 1.000 por amostra.</w:t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As amostras válidas entram na fila; o total do PDF não pode ultrapassar 20.000 etiquetas.</w:t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O motor normaliza espaços, converte texto para maiúsculas e calcula o maior tamanho legível que cabe.</w:t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A imposição posiciona etiquetas em x=0 mm e x=56 mm; quantidade ímpar mantém o último slot direito vazio.</w:t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O sistema resolve o UUID oficial e registra o job pending antes de iniciar a renderização vetorial.</w:t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O PDF é construído e salvo; o job vira generated. Qualquer falha posterior ao registro o marca failed.</w:t>
      </w:r>
    </w:p>
    <w:p w14:paraId="00000062">
      <w:pPr>
        <w:spacing w:before="0" w:line="168" w:lineRule="auto" w:after="0"/>
        <w:rPr>
          <w:rFonts w:ascii="Helvetica Neue" w:cs="Helvetica Neue" w:eastAsia="Helvetica Neue" w:hAnsi="Helvetica Neue"/>
          <w:color w:val="000000"/>
        </w:rPr>
      </w:pPr>
      <w:r>
        <w:rPr w:lang="pt-BR"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 w:lang="pt-BR"/>
        <w:t>6. Contratos de dados</w:t>
      </w:r>
    </w:p>
    <w:p w14:paraId="00000064">
      <w:pPr>
        <w:pStyle w:val="Heading2"/>
        <w:spacing w:after="90" w:line="280" w:lineRule="auto"/>
        <w:rPr/>
      </w:pPr>
      <w:r>
        <w:rPr w:lang="pt-BR"/>
        <w:t>Contrato primário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 w:lang="pt-BR"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reference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Sim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Referência do produto; trim, espaços normalizados e caixa alta.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color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Sim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Cor comercial impressa na etiqueta.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material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Sim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Material principal informado pelo operador.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copies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integer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Sim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1–1.000 por amostra; soma máxima de 20.000 por PDF.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preset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Sim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external_box ou individual_package; não altera a geometria.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template_id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uuid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Na auditoria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UUID do registro oficial imutável resolvido por builder_key.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status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Na auditoria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pending, generated, printing, completed ou failed.</w:t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 w:lang="pt-BR">
          <w:rtl w:val="0"/>
        </w:rPr>
      </w:r>
    </w:p>
    <w:p w14:paraId="00000087">
      <w:pPr>
        <w:pStyle w:val="Heading2"/>
        <w:spacing w:after="90" w:line="280" w:lineRule="auto"/>
        <w:rPr/>
      </w:pPr>
      <w:r>
        <w:rPr w:lang="pt-BR"/>
        <w:t>Garantias do contrato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 w:lang="pt-BR"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A página sempre mede 106 × 30 mm e cada arte respeita a área segura de 48 × 28 mm.</w:t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A ordem da fila e o número de cópias determinam uma imposição estável e reproduzível.</w:t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O job captura o UUID do modelo oficial e o nome do lote para auditoria posterior.</w:t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label_templates governa identidade e permissão; o conteúdo do PDF é derivado dos campos validados em memória.</w:t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 w:lang="pt-BR"/>
        <w:t>A implementação versionada está publicada em</w:t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rPr w:lang="pt-BR"/>
        <w:t>src/lib/standardTextLabels.ts e na migration 20270101013100_standardize_l42pro_label_templates.sql.</w:t>
      </w:r>
    </w:p>
    <w:p w14:paraId="0000008F">
      <w:pPr>
        <w:spacing w:before="0" w:line="120" w:lineRule="auto" w:after="0"/>
        <w:rPr>
          <w:rFonts w:ascii="Helvetica Neue" w:cs="Helvetica Neue" w:eastAsia="Helvetica Neue" w:hAnsi="Helvetica Neue"/>
          <w:color w:val="000000"/>
        </w:rPr>
      </w:pPr>
      <w:r>
        <w:rPr w:lang="pt-BR"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 w:lang="pt-BR"/>
        <w:t>7. Consistência, idempotência e repetição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 w:lang="pt-BR"/>
        <w:t>Gerar novamente a mesma fila produz a mesma organização visual, sem depender de estado mutável do modelo. O UUID oficial é resolvido e o job pending é criado antes da renderização; falhas posteriores ficam registradas como failed. Um job existente não é reutilizado automaticamente porque cada download é um evento operacional auditável.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Cenário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Comportamento esperado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Motivo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Clique repetido ou nova geração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Produz novo job com a mesma imposição determinística.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Cada download é uma ação auditável; não duplica slots internamente.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Validação ou identidade oficial falha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Não cria job nem baixa arquivo.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A intenção ainda não chegou à fronteira de renderização.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PDF falha após criar o job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Job é marcado failed; a UI informa o erro.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Mantém toda tentativa iniciada visível e recuperável.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Registro oficial muda durante execução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ACL impede edição por usuário; o UUID lido permanece no job.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A configuração é imutável em produção.</w:t>
            </w:r>
          </w:p>
        </w:tc>
      </w:tr>
    </w:tbl>
    <w:p w14:paraId="000000A2">
      <w:pPr>
        <w:spacing w:before="0" w:line="269" w:lineRule="auto" w:after="0"/>
        <w:rPr>
          <w:rFonts w:ascii="Helvetica Neue" w:cs="Helvetica Neue" w:eastAsia="Helvetica Neue" w:hAnsi="Helvetica Neue"/>
          <w:color w:val="000000"/>
        </w:rPr>
      </w:pPr>
      <w:r>
        <w:rPr w:lang="pt-BR"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 w:lang="pt-BR"/>
        <w:t>8. Segurança e privacidade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A rota permanece sob ProtectedRoute e RouteGuard do módulo expedição.</w:t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Usuários autenticados não recebem INSERT, UPDATE, DELETE, TRUNCATE, REFERENCES ou TRIGGER em label_templates.</w:t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A política de leitura retorna apenas os dois modelos oficiais ativos para usuários aprovados.</w:t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Os modelos legados são preservados como inativos; a migration não apaga histórico nem altera jobs antigos.</w:t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O PDF contém somente os três campos operacionais; segredos e dados pessoais não são incorporados ou registrados.</w:t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 w:lang="pt-BR"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 w:lang="pt-BR"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 w:lang="pt-BR"/>
        <w:t>9. Prontidão operacional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Sinal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Meta ou alerta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Responsável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Gate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Testes de geometria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100% verdes: 50×30, 2-up, gap 6, página 106×30.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Engenharia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Obrigatório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Typecheck / build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Zero erro no SHA publicado.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Engenharia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Obrigatório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Geração no navegador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Sem erro de console; PDF baixado para 1, 2 e 3 etiquetas.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QA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Obrigatório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ACL / RLS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Somente 2 oficiais ativos; escrita de usuário negada.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Banco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Obrigatório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Medição física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50×30 e gap 6 mm em dez ciclos consecutivos.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Operações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Pré-lote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Restrição de implantação: CI verde no mesmo SHA; migration antes do frontend; rollback preserva os registros legados.</w:t>
            </w:r>
          </w:p>
        </w:tc>
      </w:tr>
    </w:tbl>
    <w:p w14:paraId="000000C9">
      <w:pPr>
        <w:spacing w:before="0" w:lineRule="auto" w:after="0"/>
        <w:rPr>
          <w:rFonts w:ascii="Helvetica Neue" w:cs="Helvetica Neue" w:eastAsia="Helvetica Neue" w:hAnsi="Helvetica Neue"/>
          <w:color w:val="000000"/>
        </w:rPr>
      </w:pPr>
      <w:r>
        <w:rPr w:lang="pt-BR">
          <w:rtl w:val="0"/>
        </w:rPr>
      </w:r>
    </w:p>
    <w:p w14:paraId="000000CA">
      <w:pPr>
        <w:pStyle w:val="Heading1"/>
        <w:pageBreakBefore/>
        <w:rPr>
          <w:rFonts w:ascii="Helvetica Neue" w:cs="Helvetica Neue" w:eastAsia="Helvetica Neue" w:hAnsi="Helvetica Neue"/>
        </w:rPr>
      </w:pPr>
      <w:r>
        <w:rPr w:lang="pt-BR"/>
        <w:t>10. Alternativas consideradas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Alternativa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Por que foi considerada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Por que não foi escolhida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Manter designer livre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Máxima flexibilidade para novos layouts.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Reabre deriva, erro dimensional e superfície de permissão.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Usar 100 × 30 / 192 × 132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Reaproveita formatos operacionais existentes.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Não corresponde ao rolo 2-up nem ao pedido de amostras.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HTML via servidor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Centraliza a renderização com Chromium.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PDF vetorial local é mais simples e preserva milímetros com precisão.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Excluir tabela e legado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Reduz schema e código imediatamente.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Desnecessariamente destrutivo para histórico e rollback.</w:t>
            </w:r>
          </w:p>
        </w:tc>
      </w:tr>
    </w:tbl>
    <w:p w14:paraId="000000DC">
      <w:pPr>
        <w:spacing w:before="0" w:line="269" w:lineRule="auto" w:after="0"/>
        <w:rPr>
          <w:rFonts w:ascii="Helvetica Neue" w:cs="Helvetica Neue" w:eastAsia="Helvetica Neue" w:hAnsi="Helvetica Neue"/>
          <w:color w:val="000000"/>
        </w:rPr>
      </w:pPr>
      <w:r>
        <w:rPr w:lang="pt-BR"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 w:lang="pt-BR"/>
        <w:t>11. Questões em aberto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Qual margem externa e qual passo vertical estão especificados pelo fornecedor do rolo real?</w:t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A L42PRO selecionada no posto usa sensor transmissivo GAP e está calibrada para essa mídia?</w:t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O teste físico de dez ciclos mantém 50 × 30 mm e vão de 6 mm quando impresso a 100%?</w:t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 w:lang="pt-BR"/>
        <w:t>Após estabilização, os módulos mortos do designer livre devem ser removidos em limpeza técnica separada?</w:t>
      </w:r>
    </w:p>
    <w:p w14:paraId="000000E2">
      <w:pPr>
        <w:spacing w:before="0" w:lineRule="auto" w:after="0"/>
        <w:rPr>
          <w:rFonts w:ascii="Helvetica Neue" w:cs="Helvetica Neue" w:eastAsia="Helvetica Neue" w:hAnsi="Helvetica Neue"/>
          <w:color w:val="000000"/>
        </w:rPr>
      </w:pPr>
      <w:r>
        <w:rPr w:lang="pt-BR"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 w:lang="pt-BR"/>
        <w:t>12. Decisão e próximos passos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 w:lang="pt-BR"/>
        <w:t>A decisão é implantar o gerador padronizado com duas finalidades e uma única geometria física, retirar todo caminho alcançável de gestão livre e tornar os registros oficiais somente leitura. A publicação exige CI, migration e deploy no mesmo SHA; a liberação para lote exige ainda uma medição física no rolo real.</w:t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Marco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Entrega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/>
                <w:color w:val="FFFFFF"/>
                <w:sz w:val="16"/>
              </w:rPr>
              <w:t>Critério de saída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M1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Motor, UI e prévia 2-up.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Testes unitários e contratos de UI verdes.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M2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Modelos oficiais e ACL/RLS.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Auditoria confirma 2 ativos e escrita negada.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M3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Deploy em produção e teste no servidor.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Mesmo SHA verde no GitHub, Supabase e Vercel.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M4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Validação física da L42PRO.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0"/>
            </w:pPr>
            <w:r>
              <w:rPr w:lang="pt-BR"/>
            </w:r>
            <w:r>
              <w:rPr w:lang="pt-BR">
                <w:rFonts w:ascii="Arial" w:hAnsi="Arial"/>
                <w:b w:val="0"/>
                <w:color w:val="1F2937"/>
                <w:sz w:val="16"/>
              </w:rPr>
              <w:t>Régua confirma dimensões e gap em dez ciclos.</w:t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 w:lang="pt-BR"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color w:val="44546A"/>
        <w:sz w:val="16"/>
      </w:rPr>
      <w:t>Squad Shoes · Etiquetagem | System Design RFC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Gerador padronizado de etiquetas L42PRO</dc:title>
  <cp:lastModifiedBy>python-docx</cp:lastModifiedBy>
  <cp:revision>1</cp:revision>
  <dcterms:modified xsi:type="dcterms:W3CDTF">2026-08-26T14:45:44Z</dcterms:modified>
  <dc:subject>System Design RFC — etiquetas 50 × 30 mm em mídia 106 × 30 mm</dc:subject>
  <dc:creator>Codex e Squad Shoes</dc:creator>
  <dc:description>Gerado a partir do modelo oficial de System Design, preservando a estrutura visual.</dc:description>
  <cp:keywords>L42PRO, etiquetas, 50x30, PDF, Supabase, Squad Shoes</cp:keywords>
</cp:coreProperties>
</file>