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rPr w:lang="pt-BR"/>
        <w:t>SQUAD SHOES · ETIQUETAGEM</w:t>
      </w:r>
    </w:p>
    <w:p w14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rPr w:lang="pt-BR"/>
        <w:t>Gerador padronizado de etiquetas L42PRO</w:t>
      </w:r>
    </w:p>
    <w:p w14:paraId="0000000B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C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D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E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F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0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1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2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3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4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>
            <w:pPr>
              <w:spacing w:after="20"/>
            </w:pPr>
            <w:r>
              <w:rPr w:lang="pt-BR"/>
            </w:r>
            <w:r>
              <w:rPr w:lang="pt-BR">
                <w:b/>
                <w:color w:val="44546A"/>
                <w:sz w:val="14"/>
              </w:rPr>
              <w:t>STATUS</w:t>
            </w:r>
          </w:p>
          <w:p>
            <w:pPr>
              <w:spacing w:after="0"/>
            </w:pPr>
            <w:r>
              <w:rPr w:lang="pt-BR">
                <w:b/>
                <w:color w:val="17365D"/>
                <w:sz w:val="18"/>
              </w:rPr>
              <w:t>APROVADO</w:t>
            </w:r>
          </w:p>
        </w:tc>
        <w:tc>
          <w:tcPr/>
          <w:p w14:paraId="00000017">
            <w:pPr>
              <w:rPr>
                <w:rFonts w:ascii="Helvetica Neue" w:cs="Helvetica Neue" w:eastAsia="Helvetica Neue" w:hAnsi="Helvetica Neue"/>
              </w:rPr>
            </w:pPr>
            <w:r>
              <w:rPr w:lang="pt-BR">
                <w:rtl w:val="0"/>
              </w:rPr>
            </w:r>
          </w:p>
        </w:tc>
        <w:tc>
          <w:tcPr/>
          <w:p>
            <w:pPr>
              <w:spacing w:after="20"/>
            </w:pPr>
            <w:r>
              <w:rPr w:lang="pt-BR"/>
            </w:r>
            <w:r>
              <w:rPr w:lang="pt-BR">
                <w:b/>
                <w:color w:val="44546A"/>
                <w:sz w:val="14"/>
              </w:rPr>
              <w:t>RESPONSÁVEL</w:t>
            </w:r>
          </w:p>
          <w:p>
            <w:pPr>
              <w:spacing w:after="0"/>
            </w:pPr>
            <w:r>
              <w:rPr w:lang="pt-BR">
                <w:b/>
                <w:color w:val="17365D"/>
                <w:sz w:val="18"/>
              </w:rPr>
              <w:t>Operações / Engenharia</w:t>
            </w:r>
          </w:p>
        </w:tc>
        <w:tc>
          <w:tcPr/>
          <w:p w14:paraId="0000001A">
            <w:pPr>
              <w:rPr>
                <w:rFonts w:ascii="Helvetica Neue" w:cs="Helvetica Neue" w:eastAsia="Helvetica Neue" w:hAnsi="Helvetica Neue"/>
              </w:rPr>
            </w:pPr>
            <w:r>
              <w:rPr w:lang="pt-BR">
                <w:rtl w:val="0"/>
              </w:rPr>
            </w:r>
          </w:p>
        </w:tc>
        <w:tc>
          <w:tcPr/>
          <w:p>
            <w:pPr>
              <w:spacing w:after="20"/>
            </w:pPr>
            <w:r>
              <w:rPr w:lang="pt-BR"/>
            </w:r>
            <w:r>
              <w:rPr w:lang="pt-BR">
                <w:b/>
                <w:color w:val="44546A"/>
                <w:sz w:val="14"/>
              </w:rPr>
              <w:t>ATUALIZADO EM</w:t>
            </w:r>
          </w:p>
          <w:p>
            <w:pPr>
              <w:spacing w:after="0"/>
            </w:pPr>
            <w:r>
              <w:rPr w:lang="pt-BR">
                <w:b/>
                <w:color w:val="17365D"/>
                <w:sz w:val="18"/>
              </w:rPr>
              <w:t>26 AGO 2026</w:t>
            </w:r>
          </w:p>
        </w:tc>
      </w:tr>
    </w:tbl>
    <w:p w14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Autores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Codex e Squad Shoes</w:t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Revisores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Operações, Produção e Engenharia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Documentos relacionados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AGENTS.md · Manual oficial Elgin L42PRO Full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Escopo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Gerador textual 2-up para amostras, com modelos oficiais imutáveis e rastreabilidade.</w:t>
            </w:r>
          </w:p>
        </w:tc>
      </w:tr>
    </w:tbl>
    <w:p w14:paraId="00000026"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 w:lang="pt-BR"/>
        <w:t>1. Resumo executivo</w:t>
      </w:r>
    </w:p>
    <w:p w14:paraId="0000002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O sistema substitui a gestão livre de modelos por um gerador padronizado de etiquetas textuais para a Elgin L42PRO. O operador alterna somente a finalidade — Caixa externa ou Embalagem individual — e informa referência, cor, material e número de cópias.</w:t>
      </w:r>
    </w:p>
    <w:p w14:paraId="00000028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Os dois layouts mantêm a mesma geometria física: etiqueta de 50 × 30 mm, duas colunas, vão central de 6 mm, página de 106 × 30 mm e área segura de 48 × 28 mm. O resultado é um PDF vetorial rastreado em print_jobs; as definições oficiais ficam imutáveis no Supabase.</w:t>
      </w:r>
    </w:p>
    <w:p w14:paraId="00000029">
      <w:pPr>
        <w:spacing w:after="0" w:line="120" w:lineRule="auto"/>
        <w:jc w:val="both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2A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2. Objetivos e não objetivos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Objetivos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Não objetivos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Oferecer exatamente duas finalidades padronizadas.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Redimensionar a etiqueta logística operacional de 192 × 132 mm.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Gerar PDF vetorial 106 × 30 mm com imposição 2-up.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Imprimir diretamente via USB ou ocultar a caixa de diálogo do sistema.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Coletar apenas referência, cor, material e cópias.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Inferir margens externas, passo vertical ou especificação do rolo.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Retirar o CRUD livre sem apagar histórico.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Alterar o conteúdo ou fluxo da Etiqueta de Cliente.</w:t>
            </w:r>
          </w:p>
        </w:tc>
      </w:tr>
    </w:tbl>
    <w:p w14:paraId="00000035">
      <w:pPr>
        <w:spacing w:before="0" w:line="216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36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3. Contexto e problema</w:t>
      </w:r>
    </w:p>
    <w:p w14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A tela anterior permitia criar, editar, duplicar e excluir modelos com dimensões, DPI e elementos arbitrários. Esse caminho também era consumido pela impressão de produção, enquanto o banco concedia escrita direta em label_templates a qualquer usuário aprovado. O resultado era risco de deriva geométrica, modelos locais reaparecendo e baixa previsibilidade operacional.</w:t>
      </w:r>
    </w:p>
    <w:p w14:paraId="00000038">
      <w:pPr>
        <w:spacing w:after="110" w:line="300" w:lineRule="auto"/>
        <w:jc w:val="both"/>
        <w:rPr>
          <w:rFonts w:ascii="Helvetica Neue" w:cs="Helvetica Neue" w:eastAsia="Helvetica Neue" w:hAnsi="Helvetica Neue"/>
          <w:color w:val="000000"/>
        </w:rPr>
      </w:pPr>
      <w:r>
        <w:rPr w:lang="pt-BR"/>
        <w:t>A fronteira nova é deliberadamente pequena. A interface escolhe uma das duas organizações textuais; o motor valida e normaliza os campos, impõe pares no formato físico canônico e desenha o PDF. O princípio orientador é: finalidade altera a hierarquia visual, nunca a dimensão da etiqueta.</w:t>
      </w:r>
    </w:p>
    <w:p w14:paraId="00000039">
      <w:pPr>
        <w:pStyle w:val="Heading1"/>
        <w:pageBreakBefore/>
        <w:rPr>
          <w:rFonts w:ascii="Helvetica Neue" w:cs="Helvetica Neue" w:eastAsia="Helvetica Neue" w:hAnsi="Helvetica Neue"/>
        </w:rPr>
      </w:pPr>
      <w:r>
        <w:rPr w:lang="pt-BR"/>
        <w:t>4. Arquitetura proposta</w:t>
      </w:r>
    </w:p>
    <w:p w14:paraId="0000003A">
      <w:pPr>
        <w:spacing w:after="0" w:line="144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3B">
      <w:pPr>
        <w:jc w:val="center"/>
        <w:rPr>
          <w:rFonts w:ascii="Helvetica Neue" w:cs="Helvetica Neue" w:eastAsia="Helvetica Neue" w:hAnsi="Helvetica Neue"/>
        </w:rPr>
      </w:pPr>
      <w:r>
        <w:rPr w:lang="pt-BR"/>
        <w:drawing>
          <wp:inline>
            <wp:extent cx="6400800" cy="2809240"/>
            <wp:docPr id="1" name="Picture 1" title="Arquitetura do gerador L42PRO" descr="Fluxo do gerador React para validação e imposição, PDF vetorial e impressora L42PRO, com registro imutável de modelos e auditoria em print_job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092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 w:lang="pt-BR"/>
        <w:t>Figura 1. Arquitetura de geração e governança das etiquetas padronizadas.</w:t>
      </w:r>
    </w:p>
    <w:p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 w:lang="pt-BR">
          <w:rtl w:val="0"/>
        </w:rPr>
      </w:r>
    </w:p>
    <w:p w14:paraId="0000003E">
      <w:pPr>
        <w:pStyle w:val="Heading2"/>
        <w:spacing w:after="90" w:line="280" w:lineRule="auto"/>
        <w:rPr/>
      </w:pPr>
      <w:r>
        <w:rPr w:lang="pt-BR"/>
        <w:t>Componentes principais</w:t>
      </w:r>
    </w:p>
    <w:p w14:paraId="0000003F">
      <w:pPr>
        <w:spacing w:after="0" w:before="20" w:line="240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tbl>
      <w:tblPr>
        <w:tblStyle w:val="Table4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268"/>
        <w:gridCol w:w="3164"/>
        <w:gridCol w:w="2374"/>
        <w:gridCol w:w="2634"/>
        <w:tblGridChange w:id="0">
          <w:tblGrid>
            <w:gridCol w:w="2268"/>
            <w:gridCol w:w="3164"/>
            <w:gridCol w:w="2374"/>
            <w:gridCol w:w="26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Componente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Responsabilidade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Armazenamento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Falha segura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Workspace React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Escolher finalidade, editar amostras e exibir prévia proporcional.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Estado local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Bloqueia geração e mostra erro de campo.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Validação / imposição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Normalizar texto, validar cópias e posicionar slots em 0 e 56 mm.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Memória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cria PDF parcial.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Renderizador PDF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Desenhar texto vetorial na página física 106 × 30 mm.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Arquivo local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inicia download nem job concluído.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Registro oficial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Expor somente dois modelos ativos e imutáveis.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Supabase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Falha fechada para metadados e escrita.</w:t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Auditoria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Registrar finalidade, UUID do modelo e status de geração.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print_jobs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Marca falha quando o pós-processamento falha.</w:t>
            </w:r>
          </w:p>
        </w:tc>
      </w:tr>
    </w:tbl>
    <w:p w14:paraId="00000058">
      <w:pPr>
        <w:spacing w:before="0" w:line="12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59">
      <w:pPr>
        <w:spacing w:before="0" w:line="12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5A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5. Ciclo de geração</w:t>
      </w:r>
    </w:p>
    <w:p w14:paraId="0000005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operador abre /label-system?tab=templates e escolhe Caixa externa ou Embalagem individual.</w:t>
      </w:r>
    </w:p>
    <w:p w14:paraId="0000005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tela exige referência, cor e material; cópias deve ser inteiro entre 1 e 1.000 por amostra.</w:t>
      </w:r>
    </w:p>
    <w:p w14:paraId="0000005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As amostras válidas entram na fila; o total do PDF não pode ultrapassar 20.000 etiquetas.</w:t>
      </w:r>
    </w:p>
    <w:p w14:paraId="0000005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motor normaliza espaços, converte texto para maiúsculas e calcula o maior tamanho legível que cabe.</w:t>
      </w:r>
    </w:p>
    <w:p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imposição posiciona etiquetas em x=0 mm e x=56 mm; quantidade ímpar mantém o último slot direito vazio.</w:t>
      </w:r>
    </w:p>
    <w:p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sistema resolve o UUID oficial e registra o job pending antes de iniciar a renderização vetorial.</w:t>
      </w:r>
    </w:p>
    <w:p w14:paraId="0000006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PDF é construído e salvo; o job vira generated. Qualquer falha posterior ao registro o marca failed.</w:t>
      </w:r>
    </w:p>
    <w:p w14:paraId="00000062">
      <w:pPr>
        <w:spacing w:before="0" w:line="168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63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6. Contratos de dados</w:t>
      </w:r>
    </w:p>
    <w:p w14:paraId="00000064">
      <w:pPr>
        <w:pStyle w:val="Heading2"/>
        <w:spacing w:after="90" w:line="280" w:lineRule="auto"/>
        <w:rPr/>
      </w:pPr>
      <w:r>
        <w:rPr w:lang="pt-BR"/>
        <w:t>Contrato primário</w:t>
      </w:r>
    </w:p>
    <w:p w14:paraId="00000065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Tipo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Obrigatório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Descrição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reference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string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Referência do produto; trim, espaços normalizados e caixa alta.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color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string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Cor comercial impressa na etiqueta.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material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string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Material principal informado pelo operador.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copies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integer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1–1.000 por amostra; soma máxima de 20.000 por PDF.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preset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external_box ou individual_package; não altera a geometria.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template_id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uuid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Na auditoria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UUID do registro oficial imutável resolvido por builder_key.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status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Na auditoria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pending, generated, printing, completed ou failed.</w:t>
            </w:r>
          </w:p>
        </w:tc>
      </w:tr>
    </w:tbl>
    <w:p w14:paraId="00000086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p w14:paraId="00000087">
      <w:pPr>
        <w:pStyle w:val="Heading2"/>
        <w:spacing w:after="90" w:line="280" w:lineRule="auto"/>
        <w:rPr/>
      </w:pPr>
      <w:r>
        <w:rPr w:lang="pt-BR"/>
        <w:t>Garantias do contrato</w:t>
      </w:r>
    </w:p>
    <w:p w14:paraId="00000088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p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página sempre mede 106 × 30 mm e cada arte respeita a área segura de 48 × 28 mm.</w:t>
      </w:r>
    </w:p>
    <w:p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ordem da fila e o número de cópias determinam uma imposição estável e reproduzível.</w:t>
      </w:r>
    </w:p>
    <w:p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job captura o UUID do modelo oficial e o nome do lote para auditoria posterior.</w:t>
      </w:r>
    </w:p>
    <w:p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label_templates governa identidade e permissão; o conteúdo do PDF é derivado dos campos validados em memória.</w:t>
      </w:r>
    </w:p>
    <w:p w14:paraId="0000008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 w:lang="pt-BR"/>
        <w:t>A implementação versionada está publicada em</w:t>
      </w:r>
    </w:p>
    <w:p w14:paraId="0000008E">
      <w:pPr>
        <w:spacing w:after="110" w:line="300" w:lineRule="auto"/>
        <w:rPr>
          <w:rFonts w:ascii="Helvetica Neue" w:cs="Helvetica Neue" w:eastAsia="Helvetica Neue" w:hAnsi="Helvetica Neue"/>
        </w:rPr>
      </w:pPr>
      <w:r>
        <w:rPr w:lang="pt-BR"/>
        <w:t>src/lib/standardTextLabels.ts e na migration 20270101013300_standardize_l42pro_label_templates.sql.</w:t>
      </w:r>
    </w:p>
    <w:p w14:paraId="0000008F">
      <w:pPr>
        <w:spacing w:before="0" w:line="12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90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7. Consistência, idempotência e repetição</w:t>
      </w:r>
    </w:p>
    <w:p w14:paraId="00000091">
      <w:pPr>
        <w:spacing w:after="0" w:line="96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92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Gerar novamente a mesma fila produz a mesma organização visual, sem depender de estado mutável do modelo. O UUID oficial é resolvido e o job pending é criado antes da renderização; falhas posteriores ficam registradas como failed. Um job existente não é reutilizado automaticamente porque cada download é um evento operacional auditável.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Cenário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Comportamento esperado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Motivo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Clique repetido ou nova geração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Produz novo job com a mesma imposição determinística.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Cada download é uma ação auditável; não duplica slots internamente.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Validação ou identidade oficial falha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cria job nem baixa arquivo.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 intenção ainda não chegou à fronteira de renderização.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PDF falha após criar o job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Job é marcado failed; a UI informa o erro.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Mantém toda tentativa iniciada visível e recuperável.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Registro oficial muda durante execução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ACL impede edição por usuário; o UUID lido permanece no job.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 configuração é imutável em produção.</w:t>
            </w:r>
          </w:p>
        </w:tc>
      </w:tr>
    </w:tbl>
    <w:p w14:paraId="000000A2">
      <w:pPr>
        <w:spacing w:before="0" w:line="269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A3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8. Segurança e privacidade</w:t>
      </w:r>
    </w:p>
    <w:p w14:paraId="000000A4">
      <w:pPr>
        <w:spacing w:after="0" w:line="96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rota permanece sob ProtectedRoute e RouteGuard do módulo expedição.</w:t>
      </w:r>
    </w:p>
    <w:p w14:paraId="000000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Usuários autenticados não recebem INSERT, UPDATE, DELETE, TRUNCATE, REFERENCES ou TRIGGER em label_templates.</w:t>
      </w:r>
    </w:p>
    <w:p w14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política de leitura permite que usuários aprovados consultem os modelos oficiais e os legados inativos, preservando os nomes no histórico.</w:t>
      </w:r>
    </w:p>
    <w:p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Os modelos legados são preservados como inativos; a migration não apaga histórico nem altera jobs antigos.</w:t>
      </w:r>
    </w:p>
    <w:p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PDF contém somente os três campos operacionais; segredos e dados pessoais não são incorporados ou registrados.</w:t>
      </w:r>
    </w:p>
    <w:p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 w:lang="pt-BR">
          <w:rtl w:val="0"/>
        </w:rPr>
      </w:r>
    </w:p>
    <w:p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 w:lang="pt-BR">
          <w:rtl w:val="0"/>
        </w:rPr>
      </w:r>
    </w:p>
    <w:p w14:paraId="000000AC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9. Prontidão operacional</w:t>
      </w:r>
    </w:p>
    <w:tbl>
      <w:tblPr>
        <w:tblStyle w:val="Table7"/>
        <w:tblW w:w="104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3521"/>
        <w:gridCol w:w="2306"/>
        <w:gridCol w:w="2345"/>
        <w:tblGridChange w:id="0">
          <w:tblGrid>
            <w:gridCol w:w="2268"/>
            <w:gridCol w:w="3521"/>
            <w:gridCol w:w="2306"/>
            <w:gridCol w:w="23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Sinal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Meta ou alerta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Responsável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Gate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Testes de geometria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100% verdes: 50×30, 2-up, gap 6, página 106×30.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Engenharia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Typecheck / build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Zero erro no SHA publicado.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Engenharia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Geração no navegador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Sem erro de console; PDF baixado para 1, 2 e 3 etiquetas.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QA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ACL / RLS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Somente 2 oficiais ativos; escrita de usuário negada.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Banco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Medição física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50×30 e gap 6 mm em dez ciclos consecutivos.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Operações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Pré-lote</w:t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Restrição de implantação: CI verde no mesmo SHA; migration antes do frontend; rollback preserva os registros legados.</w:t>
            </w:r>
          </w:p>
        </w:tc>
      </w:tr>
    </w:tbl>
    <w:p w14:paraId="000000C9">
      <w:pPr>
        <w:spacing w:before="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CA">
      <w:pPr>
        <w:pStyle w:val="Heading1"/>
        <w:pageBreakBefore/>
        <w:rPr>
          <w:rFonts w:ascii="Helvetica Neue" w:cs="Helvetica Neue" w:eastAsia="Helvetica Neue" w:hAnsi="Helvetica Neue"/>
        </w:rPr>
      </w:pPr>
      <w:r>
        <w:rPr w:lang="pt-BR"/>
        <w:t>10. Alternativas consideradas</w:t>
      </w:r>
    </w:p>
    <w:p w14:paraId="000000CB">
      <w:pPr>
        <w:spacing w:after="0" w:line="14.399999999999999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CC">
      <w:pPr>
        <w:spacing w:after="0" w:line="192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tbl>
      <w:tblPr>
        <w:tblStyle w:val="Table8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03"/>
        <w:gridCol w:w="3313"/>
        <w:gridCol w:w="3824"/>
        <w:tblGridChange w:id="0">
          <w:tblGrid>
            <w:gridCol w:w="3303"/>
            <w:gridCol w:w="3313"/>
            <w:gridCol w:w="382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Alternativa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Por que foi considerada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Por que não foi escolhida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Manter designer livre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Máxima flexibilidade para novos layouts.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Reabre deriva, erro dimensional e superfície de permissão.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Usar 100 × 30 / 192 × 132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Reaproveita formatos operacionais existentes.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corresponde ao rolo 2-up nem ao pedido de amostras.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HTML via servidor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Centraliza a renderização com Chromium.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PDF vetorial local é mais simples e preserva milímetros com precisão.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Excluir tabela e legado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Reduz schema e código imediatamente.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Desnecessariamente destrutivo para histórico e rollback.</w:t>
            </w:r>
          </w:p>
        </w:tc>
      </w:tr>
    </w:tbl>
    <w:p w14:paraId="000000DC">
      <w:pPr>
        <w:spacing w:before="0" w:line="269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DD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11. Questões em aberto</w:t>
      </w:r>
    </w:p>
    <w:p w14:paraId="000000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Qual margem externa e qual passo vertical estão especificados pelo fornecedor do rolo real?</w:t>
      </w:r>
    </w:p>
    <w:p w14:paraId="000000D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L42PRO selecionada no posto usa sensor transmissivo GAP e está calibrada para essa mídia?</w:t>
      </w:r>
    </w:p>
    <w:p w14:paraId="000000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teste físico de dez ciclos mantém 50 × 30 mm e vão de 6 mm quando impresso a 100%?</w:t>
      </w:r>
    </w:p>
    <w:p w14:paraId="000000E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Quem executará e registrará o teste físico de dez ciclos na L42PRO do posto?</w:t>
      </w:r>
    </w:p>
    <w:p w14:paraId="000000E2">
      <w:pPr>
        <w:spacing w:before="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E3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12. Decisão e próximos passos</w:t>
      </w:r>
    </w:p>
    <w:p w14:paraId="000000E4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A decisão é implantar o gerador padronizado com duas finalidades e uma única geometria física, retirar todo caminho alcançável de gestão livre e tornar os registros oficiais somente leitura. A publicação exige CI, migration e deploy no mesmo SHA; a liberação para lote exige ainda uma medição física no rolo real.</w:t>
      </w:r>
    </w:p>
    <w:tbl>
      <w:tblPr>
        <w:tblStyle w:val="Table9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954"/>
        <w:gridCol w:w="3713"/>
        <w:gridCol w:w="3773"/>
        <w:tblGridChange w:id="0">
          <w:tblGrid>
            <w:gridCol w:w="2954"/>
            <w:gridCol w:w="3713"/>
            <w:gridCol w:w="37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Marco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Entrega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Critério de saída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M1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Motor, UI e prévia 2-up.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Testes unitários e contratos de UI verdes.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Modelos oficiais e ACL/RLS.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Auditoria confirma 2 ativos e escrita negada.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Deploy em produção e teste no servidor.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Mesmo SHA verde no GitHub, Supabase e Vercel.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Validação física da L42PRO.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Régua confirma dimensões e gap em dez ciclos.</w:t>
            </w:r>
          </w:p>
        </w:tc>
      </w:tr>
    </w:tbl>
    <w:p w14:paraId="000000F4">
      <w:pPr>
        <w:spacing w:after="120" w:line="269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rPr>
        <w:color w:val="44546A"/>
        <w:sz w:val="16"/>
      </w:rPr>
      <w:t>Squad Shoes · Etiquetagem | System Design RFC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Gerador padronizado de etiquetas L42PRO</dc:title>
  <cp:lastModifiedBy>python-docx</cp:lastModifiedBy>
  <cp:revision>1</cp:revision>
  <dcterms:modified xsi:type="dcterms:W3CDTF">2026-08-26T14:45:44Z</dcterms:modified>
  <dc:subject>System Design RFC — etiquetas 50 × 30 mm em mídia 106 × 30 mm</dc:subject>
  <dc:creator>Codex e Squad Shoes</dc:creator>
  <dc:description>Gerado a partir do modelo oficial de System Design, preservando a estrutura visual.</dc:description>
  <cp:keywords>L42PRO, etiquetas, 50x30, PDF, Supabase, Squad Shoes</cp:keywords>
</cp:coreProperties>
</file>