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grow old, and reach the point where we, or someone we love, needs help with bathing, dressing, meals, medications, and moving safely through the home. Most families meet that moment at its worst, after a fall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across four systems with separate eligibility rules and no party accountable for whether care begins. They must </w:t>
      </w:r>
      <w:r>
        <w:rPr>
          <w:b/>
          <w:i w:val="0"/>
        </w:rPr>
        <w:t>afford</w:t>
      </w:r>
      <w:r>
        <w:rPr>
          <w:b w:val="0"/>
          <w:i w:val="0"/>
        </w:rPr>
        <w:t xml:space="preserve"> it: full-time home care runs $80,080 a year,</w:t>
      </w:r>
      <w:r>
        <w:rPr>
          <w:b w:val="0"/>
          <w:i w:val="0"/>
          <w:vertAlign w:val="superscript"/>
        </w:rPr>
        <w:t>1</w:t>
      </w:r>
      <w:r>
        <w:rPr>
          <w:b w:val="0"/>
          <w:i w:val="0"/>
        </w:rPr>
        <w:t xml:space="preserve"> Medicare does not cover custodial home care, Medicaid pays only after a family has spent down, and an estimated $58 billion in assistance goes unclaimed every year because families cannot navigate the programs.</w:t>
      </w:r>
      <w:r>
        <w:rPr>
          <w:b w:val="0"/>
          <w:i w:val="0"/>
          <w:vertAlign w:val="superscript"/>
        </w:rPr>
        <w:t>2</w:t>
      </w:r>
      <w:r>
        <w:rPr>
          <w:b w:val="0"/>
          <w:i w:val="0"/>
        </w:rPr>
        <w:t xml:space="preserve"> And someone must be available to </w:t>
      </w:r>
      <w:r>
        <w:rPr>
          <w:b/>
          <w:i w:val="0"/>
        </w:rPr>
        <w:t>deliver</w:t>
      </w:r>
      <w:r>
        <w:rPr>
          <w:b w:val="0"/>
          <w:i w:val="0"/>
        </w:rPr>
        <w:t xml:space="preserve"> it: 63.3 percent of home-care providers declined cases in 2023 they could not staff.</w:t>
      </w:r>
      <w:r>
        <w:rPr>
          <w:b w:val="0"/>
          <w:i w:val="0"/>
          <w:vertAlign w:val="superscript"/>
        </w:rPr>
        <w:t>3</w:t>
      </w:r>
    </w:p>
    <w:p>
      <w:pPr>
        <w:keepNext/>
        <w:spacing w:before="80" w:after="40"/>
        <w:jc w:val="center"/>
      </w:pPr>
      <w:r>
        <w:drawing>
          <wp:inline xmlns:a="http://schemas.openxmlformats.org/drawingml/2006/main" xmlns:pic="http://schemas.openxmlformats.org/drawingml/2006/picture">
            <wp:extent cx="6126480" cy="200758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2007582"/>
                    </a:xfrm>
                    <a:prstGeom prst="rect"/>
                  </pic:spPr>
                </pic:pic>
              </a:graphicData>
            </a:graphic>
          </wp:inline>
        </w:drawing>
      </w:r>
    </w:p>
    <w:p>
      <w:pPr>
        <w:spacing w:after="80"/>
        <w:jc w:val="left"/>
      </w:pPr>
      <w:r>
        <w:rPr>
          <w:b/>
          <w:i w:val="0"/>
          <w:sz w:val="18"/>
        </w:rPr>
        <w:t>Figure 1.</w:t>
      </w:r>
      <w:r>
        <w:rPr>
          <w:b w:val="0"/>
          <w:i w:val="0"/>
          <w:sz w:val="18"/>
        </w:rPr>
        <w:t xml:space="preserve"> The three gates a family must clear, and the cycle that follows failure at any one of them.</w:t>
      </w:r>
    </w:p>
    <w:p>
      <w:pPr>
        <w:jc w:val="both"/>
      </w:pPr>
      <w:r>
        <w:rPr>
          <w:b/>
          <w:i w:val="0"/>
        </w:rPr>
        <w:t>Failure at any one gate leaves a vulnerable older adult in the vicious cycle.</w:t>
      </w:r>
      <w:r>
        <w:rPr>
          <w:b w:val="0"/>
          <w:i w:val="0"/>
        </w:rPr>
        <w:t xml:space="preserve"> Nearly a third of older adults with difficulty in activities of daily living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Where the money already goes.</w:t>
      </w:r>
      <w:r>
        <w:rPr>
          <w:b w:val="0"/>
          <w:i w:val="0"/>
        </w:rPr>
        <w:t xml:space="preserve"> Demand is rising while both sources of supply contract (Figure 2), and the paid workforce that would have to absorb the difference faces 9.7 million direct-care job openings between 2024 and 2034.</w:t>
      </w:r>
      <w:r>
        <w:rPr>
          <w:b w:val="0"/>
          <w:i w:val="0"/>
          <w:vertAlign w:val="superscript"/>
        </w:rPr>
        <w:t>8</w:t>
      </w:r>
    </w:p>
    <w:p>
      <w:pPr>
        <w:jc w:val="both"/>
      </w:pPr>
      <w:r>
        <w:rPr>
          <w:b w:val="0"/>
          <w:i w:val="0"/>
        </w:rPr>
        <w:t>The cost of that shortfall is already being paid, just not where anyone planned. Family caregiving costs working Americans $107 billion a year in earnings they do not make, and costs their employers roughly $26 billion more in lost productivity.</w:t>
      </w:r>
      <w:r>
        <w:rPr>
          <w:b w:val="0"/>
          <w:i w:val="0"/>
          <w:vertAlign w:val="superscript"/>
        </w:rPr>
        <w:t>9</w:t>
      </w:r>
      <w:r>
        <w:rPr>
          <w:b w:val="0"/>
          <w:i w:val="0"/>
        </w:rPr>
        <w:t xml:space="preserve"> Families then spend down what they saved, so a lifetime of retirement savings, and often the inheritance behind it, is redirected into a few years of long-term care. Medicaid picks the bill up only once that money is gone, and by then the family has lost its assets, the employer has lost the work, and the public system has inherited a more expensive person to care for.</w:t>
      </w:r>
      <w:r>
        <w:rPr>
          <w:b w:val="0"/>
          <w:i w:val="0"/>
          <w:vertAlign w:val="superscript"/>
        </w:rPr>
        <w:t>10</w:t>
      </w:r>
      <w:r>
        <w:rPr>
          <w:b w:val="0"/>
          <w:i w:val="0"/>
        </w:rPr>
        <w:t xml:space="preserve"> CAPABLE showed how avoidable that is: roughly $3,000 in program cost against more than $20,000 in reduced Medicaid spending per participant.</w:t>
      </w:r>
      <w:r>
        <w:rPr>
          <w:b w:val="0"/>
          <w:i w:val="0"/>
          <w:vertAlign w:val="superscript"/>
        </w:rPr>
        <w:t>11,12</w:t>
      </w:r>
      <w:r>
        <w:rPr>
          <w:b w:val="0"/>
          <w:i w:val="0"/>
        </w:rPr>
        <w:t xml:space="preserve"> </w:t>
      </w:r>
      <w:r>
        <w:rPr>
          <w:b/>
          <w:i w:val="0"/>
        </w:rPr>
        <w:t>The money to support older adults at home largely exists today. Too much of it is spent later, on worse outcomes and more expensive care.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Knowing what exists is not the hard part. A family has to work out which aid program applies, which insurance benefit applies, and which service or provider is needed, then complete the same administrative sequence for each: applications, documentation, intake, scheduling, waiting for a response, answering follow-up requests, confirming provider availability, securing approval, and confirming that care began. Families are lost to follow-up somewhere in that sequence, and existing help stops earlier. A discharge planner hands over a printed list and the case closes at the hospital door; information services return directories; referral marketplaces introduce a provider and are paid on placement. None is accountable for whether care was established, and even where navigation succeeds there may be no capacity in the local market to deliver it.</w:t>
      </w:r>
    </w:p>
    <w:p>
      <w:pPr>
        <w:jc w:val="both"/>
      </w:pPr>
      <w:r>
        <w:rPr>
          <w:b w:val="0"/>
          <w:i w:val="0"/>
        </w:rPr>
        <w:t xml:space="preserve">Two things are therefore required at once: navigation that runs through to established care meeting the family's needs, and an available caregiver or provider to deliver it. </w:t>
      </w:r>
      <w:r>
        <w:rPr>
          <w:b/>
          <w:i w:val="0"/>
        </w:rPr>
        <w:t>Neither is sufficient alone, and that is the structural claim of this application.</w:t>
      </w:r>
      <w:r>
        <w:rPr>
          <w:b w:val="0"/>
          <w:i w:val="0"/>
        </w:rPr>
        <w:t xml:space="preserve"> A product that helps families find and afford care still fails if the local system lacks the caregivers to deliver it, which is a faster path back into the vicious cycle. We did not choose workforce development; it was a binding constraint on our own product working.</w:t>
      </w:r>
    </w:p>
    <w:p>
      <w:pPr>
        <w:spacing w:before="120"/>
        <w:jc w:val="both"/>
      </w:pPr>
      <w:r>
        <w:rPr>
          <w:b/>
          <w:i w:val="0"/>
        </w:rPr>
        <w:t>The product and the north star.</w:t>
      </w:r>
      <w:r>
        <w:rPr>
          <w:b w:val="0"/>
          <w:i w:val="0"/>
        </w:rPr>
        <w:t xml:space="preserve"> Olera exists to increase the effective capacity of America's aging-care system: to unlock financial resources that already exist, to bring new caregivers into a workforce short of them, and to use AI to turn both into care that actually begins.</w:t>
      </w:r>
    </w:p>
    <w:p>
      <w:pPr>
        <w:jc w:val="both"/>
      </w:pPr>
      <w:r>
        <w:rPr>
          <w:b w:val="0"/>
          <w:i w:val="0"/>
        </w:rPr>
        <w:t>CareNavigator is an eldercare AI navigation system built over an expert-curated national database of aid programs and providers, developed across NIA SBIR Phases I through IIB. It screens a household's needs and means and returns a care and funding plan with the steps required to obtain each resource (Figure 3). What this award adds is execution: agents that carry those steps out, follow up on a schedule, and confirm the date aid or care began. Alongside it, Olera recruits and verifies new caregivers and places them with licensed providers, who employ, train, insure, and supervise them. Together they turn a recognized need into established care, which is how the cycle in Figure 1 is interrupted.</w:t>
      </w:r>
    </w:p>
    <w:p>
      <w:pPr>
        <w:keepNext/>
        <w:spacing w:before="80" w:after="40"/>
        <w:jc w:val="center"/>
      </w:pPr>
      <w:r>
        <w:drawing>
          <wp:inline xmlns:a="http://schemas.openxmlformats.org/drawingml/2006/main" xmlns:pic="http://schemas.openxmlformats.org/drawingml/2006/picture">
            <wp:extent cx="6126480" cy="157738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26480" cy="1577386"/>
                    </a:xfrm>
                    <a:prstGeom prst="rect"/>
                  </pic:spPr>
                </pic:pic>
              </a:graphicData>
            </a:graphic>
          </wp:inline>
        </w:drawing>
      </w:r>
    </w:p>
    <w:p>
      <w:pPr>
        <w:spacing w:after="80"/>
        <w:jc w:val="left"/>
      </w:pPr>
      <w:r>
        <w:rPr>
          <w:b/>
          <w:i w:val="0"/>
          <w:sz w:val="18"/>
        </w:rPr>
        <w:t>Figure 3.</w:t>
      </w:r>
      <w:r>
        <w:rPr>
          <w:b w:val="0"/>
          <w:i w:val="0"/>
          <w:sz w:val="18"/>
        </w:rPr>
        <w:t xml:space="preserve"> What CareNavigator produces for one household, and what the system then executes and confirms.</w:t>
      </w:r>
    </w:p>
    <w:p>
      <w:pPr>
        <w:jc w:val="both"/>
      </w:pPr>
      <w:r>
        <w:rPr>
          <w:b/>
          <w:i w:val="0"/>
        </w:rPr>
        <w:t>CareNavigator is free to families, and no provider pays to be listed or to receive a family connection.</w:t>
      </w:r>
      <w:r>
        <w:rPr>
          <w:b w:val="0"/>
          <w:i w:val="0"/>
        </w:rPr>
        <w:t xml:space="preserve"> Nothing about a family's access depends on who has paid, which removes the gating on who can be helped, keeps the network from tilting toward whoever bought placement, and leaves no incentive to steer anyone. It also lets federally reimbursed providers participate, which pay-per-referral models cannot accommodate. </w:t>
      </w:r>
      <w:r>
        <w:rPr>
          <w:b/>
          <w:i w:val="0"/>
        </w:rPr>
        <w:t>Caregiver Staffing is the product sold and priced during this award.</w:t>
      </w:r>
    </w:p>
    <w:p>
      <w:pPr>
        <w:spacing w:before="120"/>
        <w:jc w:val="both"/>
      </w:pPr>
      <w:r>
        <w:rPr>
          <w:b/>
          <w:i w:val="0"/>
        </w:rPr>
        <w:t>Market segments and customers.</w:t>
      </w:r>
      <w:r>
        <w:rPr>
          <w:b w:val="0"/>
          <w:i w:val="0"/>
        </w:rPr>
        <w:t xml:space="preserve"> The beachhead customer for our staffing product is healthcare and long-term services and supports providers, of which roughly 165,000 operate in the United States.</w:t>
      </w:r>
      <w:r>
        <w:rPr>
          <w:b w:val="0"/>
          <w:i w:val="0"/>
          <w:vertAlign w:val="superscript"/>
        </w:rPr>
        <w:t>13,14</w:t>
      </w:r>
      <w:r>
        <w:rPr>
          <w:b w:val="0"/>
          <w:i w:val="0"/>
        </w:rPr>
        <w:t xml:space="preserve"> The published median cost of acquiring a caregiver is $520 per hire, and that figure is for word of mouth, the cheapest channel an agency has.</w:t>
      </w:r>
      <w:r>
        <w:rPr>
          <w:b w:val="0"/>
          <w:i w:val="0"/>
          <w:vertAlign w:val="superscript"/>
        </w:rPr>
        <w:t>15</w:t>
      </w:r>
      <w:r>
        <w:rPr>
          <w:b w:val="0"/>
          <w:i w:val="0"/>
        </w:rPr>
        <w:t xml:space="preserve"> Providers fill roughly 970,000 direct-care positions a year;</w:t>
      </w:r>
      <w:r>
        <w:rPr>
          <w:b w:val="0"/>
          <w:i w:val="0"/>
          <w:vertAlign w:val="superscript"/>
        </w:rPr>
        <w:t>8</w:t>
      </w:r>
      <w:r>
        <w:rPr>
          <w:b w:val="0"/>
          <w:i w:val="0"/>
        </w:rPr>
        <w:t xml:space="preserve"> at the 16 percent of annual pay published work puts on replacing an hourly worker,</w:t>
      </w:r>
      <w:r>
        <w:rPr>
          <w:b w:val="0"/>
          <w:i w:val="0"/>
          <w:vertAlign w:val="superscript"/>
        </w:rPr>
        <w:t>16</w:t>
      </w:r>
      <w:r>
        <w:rPr>
          <w:b w:val="0"/>
          <w:i w:val="0"/>
        </w:rPr>
        <w:t xml:space="preserve"> against a direct-care median just under $26,000, that is about $4 billion a year spent replacing people who left. Table 1 sets our pilot pricing against what providers pay to acquire caregivers today.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generates the evidence needed to develop products for it. The organizations named above bear the cost when care does not get established, in avoidable emergency visits, readmissions, premature institutionalization, and caregivers who break down, and Medicare now pays directly for care navigation through the GUIDE model.</w:t>
      </w:r>
      <w:r>
        <w:rPr>
          <w:b w:val="0"/>
          <w:i w:val="0"/>
          <w:vertAlign w:val="superscript"/>
        </w:rPr>
        <w:t>17</w:t>
      </w:r>
      <w:r>
        <w:rPr>
          <w:b w:val="0"/>
          <w:i w:val="0"/>
        </w:rPr>
        <w:t xml:space="preserve"> Evidence that care was established, paired with defensible estimates of the utilization it avoids, is what makes that proposition real. The Commercialization Plan models both this and the staffing beachhead; at modeled steady state a single market carries about 50 paying provider accounts and $165,000 in annual recurring revenue against roughly $30,000 to enter it, with lifetime value above four times acquisition cost.</w:t>
      </w:r>
    </w:p>
    <w:p>
      <w:pPr>
        <w:spacing w:before="120"/>
        <w:jc w:val="both"/>
      </w:pPr>
      <w:r>
        <w:rPr>
          <w:b/>
          <w:i w:val="0"/>
        </w:rPr>
        <w:t>Competitive environment and our advantage.</w:t>
      </w:r>
      <w:r>
        <w:rPr>
          <w:b w:val="0"/>
          <w:i w:val="0"/>
        </w:rPr>
        <w:t xml:space="preserve"> Table 2 places our two products against every category of alternative across the path a family travels. Every alternative solves only part of it, and families can still fall through before care is established.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3240"/>
            <w:tcBorders>
              <w:bottom w:val="single" w:sz="8" w:space="0" w:color="14453F"/>
            </w:tcBorders>
          </w:tcPr>
          <w:p>
            <w:pPr>
              <w:spacing w:after="20" w:before="20"/>
              <w:jc w:val="left"/>
            </w:pPr>
            <w:r/>
            <w:r>
              <w:rPr>
                <w:b/>
                <w:i w:val="0"/>
                <w:color w:val="14453F"/>
                <w:sz w:val="18"/>
              </w:rPr>
              <w:t>Category of alternative</w:t>
            </w:r>
          </w:p>
        </w:tc>
        <w:tc>
          <w:tcPr>
            <w:tcW w:type="dxa" w:w="1512"/>
            <w:tcBorders>
              <w:bottom w:val="single" w:sz="8" w:space="0" w:color="14453F"/>
            </w:tcBorders>
          </w:tcPr>
          <w:p>
            <w:pPr>
              <w:spacing w:after="20" w:before="20"/>
              <w:jc w:val="center"/>
            </w:pPr>
            <w:r/>
            <w:r>
              <w:rPr>
                <w:b/>
                <w:i w:val="0"/>
                <w:color w:val="14453F"/>
                <w:sz w:val="18"/>
              </w:rPr>
              <w:t>Find it</w:t>
            </w:r>
          </w:p>
        </w:tc>
        <w:tc>
          <w:tcPr>
            <w:tcW w:type="dxa" w:w="1512"/>
            <w:tcBorders>
              <w:bottom w:val="single" w:sz="8" w:space="0" w:color="14453F"/>
            </w:tcBorders>
          </w:tcPr>
          <w:p>
            <w:pPr>
              <w:spacing w:after="20" w:before="20"/>
              <w:jc w:val="center"/>
            </w:pPr>
            <w:r/>
            <w:r>
              <w:rPr>
                <w:b/>
                <w:i w:val="0"/>
                <w:color w:val="14453F"/>
                <w:sz w:val="18"/>
              </w:rPr>
              <w:t>Afford it</w:t>
            </w:r>
          </w:p>
        </w:tc>
        <w:tc>
          <w:tcPr>
            <w:tcW w:type="dxa" w:w="1512"/>
            <w:tcBorders>
              <w:bottom w:val="single" w:sz="8" w:space="0" w:color="14453F"/>
            </w:tcBorders>
          </w:tcPr>
          <w:p>
            <w:pPr>
              <w:spacing w:after="20" w:before="20"/>
              <w:jc w:val="center"/>
            </w:pPr>
            <w:r/>
            <w:r>
              <w:rPr>
                <w:b/>
                <w:i w:val="0"/>
                <w:color w:val="14453F"/>
                <w:sz w:val="18"/>
              </w:rPr>
              <w:t>Staff it</w:t>
            </w:r>
          </w:p>
        </w:tc>
        <w:tc>
          <w:tcPr>
            <w:tcW w:type="dxa" w:w="1512"/>
            <w:tcBorders>
              <w:bottom w:val="single" w:sz="8" w:space="0" w:color="14453F"/>
            </w:tcBorders>
          </w:tcPr>
          <w:p>
            <w:pPr>
              <w:spacing w:after="20" w:before="20"/>
              <w:jc w:val="center"/>
            </w:pPr>
            <w:r/>
            <w:r>
              <w:rPr>
                <w:b/>
                <w:i w:val="0"/>
                <w:color w:val="14453F"/>
                <w:sz w:val="18"/>
              </w:rPr>
              <w:t>Establish care</w:t>
            </w:r>
          </w:p>
        </w:tc>
        <w:tc>
          <w:tcPr>
            <w:tcW w:type="dxa" w:w="1512"/>
            <w:tcBorders>
              <w:bottom w:val="single" w:sz="8" w:space="0" w:color="14453F"/>
            </w:tcBorders>
          </w:tcPr>
          <w:p>
            <w:pPr>
              <w:spacing w:after="20" w:before="20"/>
              <w:jc w:val="center"/>
            </w:pPr>
            <w:r/>
            <w:r>
              <w:rPr>
                <w:b/>
                <w:i w:val="0"/>
                <w:color w:val="14453F"/>
                <w:sz w:val="18"/>
              </w:rPr>
              <w:t>Open to any family</w:t>
            </w:r>
          </w:p>
        </w:tc>
      </w:tr>
      <w:tr>
        <w:tc>
          <w:tcPr>
            <w:tcW w:type="dxa" w:w="3240"/>
            <w:shd w:val="clear" w:fill="14453F"/>
            <w:tcBorders>
              <w:bottom w:val="single" w:sz="2" w:space="0" w:color="B9C4BD"/>
            </w:tcBorders>
          </w:tcPr>
          <w:p>
            <w:pPr>
              <w:spacing w:after="20" w:before="20"/>
              <w:jc w:val="left"/>
            </w:pPr>
            <w:r/>
            <w:r>
              <w:rPr>
                <w:b/>
                <w:i w:val="0"/>
                <w:color w:val="FFFFFF"/>
                <w:sz w:val="18"/>
              </w:rPr>
              <w:t>Olera</w:t>
            </w:r>
            <w:r>
              <w:br/>
            </w:r>
            <w:r>
              <w:rPr>
                <w:b w:val="0"/>
                <w:i/>
                <w:color w:val="FFFFFF"/>
                <w:sz w:val="15"/>
              </w:rPr>
              <w:t>CareNavigator and Caregiver Staffing</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r>
      <w:tr>
        <w:tc>
          <w:tcPr>
            <w:tcW w:type="dxa" w:w="3240"/>
            <w:tcBorders>
              <w:bottom w:val="single" w:sz="2" w:space="0" w:color="B9C4BD"/>
            </w:tcBorders>
          </w:tcPr>
          <w:p>
            <w:pPr>
              <w:spacing w:after="20" w:before="20"/>
              <w:jc w:val="left"/>
            </w:pPr>
            <w:r/>
            <w:r>
              <w:rPr>
                <w:b/>
                <w:i w:val="0"/>
                <w:color w:val="14453F"/>
                <w:sz w:val="18"/>
              </w:rPr>
              <w:t>Public information services</w:t>
            </w:r>
            <w:r>
              <w:br/>
            </w:r>
            <w:r>
              <w:rPr>
                <w:b w:val="0"/>
                <w:i/>
                <w:color w:val="14453F"/>
                <w:sz w:val="15"/>
              </w:rPr>
              <w:t>Eldercare Locator, BenefitsCheckUp</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General AI assistants</w:t>
            </w:r>
            <w:r>
              <w:br/>
            </w:r>
            <w:r>
              <w:rPr>
                <w:b w:val="0"/>
                <w:i/>
                <w:color w:val="14453F"/>
                <w:sz w:val="15"/>
              </w:rPr>
              <w:t>ChatGPT, Claude, Gemini</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Human navigators</w:t>
            </w:r>
            <w:r>
              <w:br/>
            </w:r>
            <w:r>
              <w:rPr>
                <w:b w:val="0"/>
                <w:i/>
                <w:color w:val="14453F"/>
                <w:sz w:val="15"/>
              </w:rPr>
              <w:t>social workers, case managers, discharge planners, private care managers</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Employer and health-plan navigation platforms</w:t>
            </w:r>
            <w:r>
              <w:br/>
            </w:r>
            <w:r>
              <w:rPr>
                <w:b w:val="0"/>
                <w:i/>
                <w:color w:val="14453F"/>
                <w:sz w:val="15"/>
              </w:rPr>
              <w:t>Wellthy, Grayce, Cariloop, Homethrive, ianacare</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Referral marketplaces</w:t>
            </w:r>
            <w:r>
              <w:br/>
            </w:r>
            <w:r>
              <w:rPr>
                <w:b w:val="0"/>
                <w:i/>
                <w:color w:val="14453F"/>
                <w:sz w:val="15"/>
              </w:rPr>
              <w:t>A Place for Mom, Caring.com</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8" w:space="0" w:color="14453F"/>
            </w:tcBorders>
          </w:tcPr>
          <w:p>
            <w:pPr>
              <w:spacing w:after="20" w:before="20"/>
              <w:jc w:val="left"/>
            </w:pPr>
            <w:r/>
            <w:r>
              <w:rPr>
                <w:b/>
                <w:i w:val="0"/>
                <w:color w:val="14453F"/>
                <w:sz w:val="18"/>
              </w:rPr>
              <w:t>Staffing agencies, job boards, gig platforms</w:t>
            </w:r>
            <w:r>
              <w:br/>
            </w:r>
            <w:r>
              <w:rPr>
                <w:b w:val="0"/>
                <w:i/>
                <w:color w:val="14453F"/>
                <w:sz w:val="15"/>
              </w:rPr>
              <w:t>local and franchise agencies, Indeed, shift marketplaces</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by category of alternative.</w:t>
      </w:r>
    </w:p>
    <w:p>
      <w:pPr>
        <w:spacing w:after="100"/>
        <w:jc w:val="left"/>
      </w:pPr>
      <w:r>
        <w:rPr>
          <w:b w:val="0"/>
          <w:i/>
          <w:sz w:val="18"/>
        </w:rPr>
        <w:t>The staffing channels in the last row supply workers already in direct care. None of them enlarges the workforce.</w:t>
      </w:r>
    </w:p>
    <w:p>
      <w:pPr>
        <w:jc w:val="both"/>
      </w:pPr>
      <w:r>
        <w:rPr>
          <w:b w:val="0"/>
          <w:i w:val="0"/>
        </w:rPr>
        <w:t>Human navigators are the strongest competitors: social workers, hospital case managers, discharge planners, and private geriatric care managers do this work well and cover more of the path than any product does. They are also scarce, and the constraint cannot be solved by hiring: healthcare social workers are projected to grow six percent between 2024 and 2034, about 13,600 positions, against a population over 65 growing far faster.</w:t>
      </w:r>
      <w:r>
        <w:rPr>
          <w:b w:val="0"/>
          <w:i w:val="0"/>
          <w:vertAlign w:val="superscript"/>
        </w:rPr>
        <w:t>18</w:t>
      </w:r>
      <w:r>
        <w:rPr>
          <w:b w:val="0"/>
          <w:i w:val="0"/>
        </w:rPr>
        <w:t xml:space="preserve"> The closest commercial analogues are the navigation platforms sold to employers and health plans, where access depends on who employs or insures a family.</w:t>
      </w:r>
      <w:r>
        <w:rPr>
          <w:b w:val="0"/>
          <w:i w:val="0"/>
          <w:vertAlign w:val="superscript"/>
        </w:rPr>
        <w:t>19</w:t>
      </w:r>
      <w:r>
        <w:rPr>
          <w:b w:val="0"/>
          <w:i w:val="0"/>
        </w:rPr>
        <w:t xml:space="preserve"> On the staffing side the distinction is simpler: agencies, job boards, and gig platforms compete only for workers already in the direct-care pool. </w:t>
      </w:r>
      <w:r>
        <w:rPr>
          <w:b/>
          <w:i w:val="0"/>
        </w:rPr>
        <w:t>Olera builds the pathways and infrastructure that bring new people into caregiving,</w:t>
      </w:r>
      <w:r>
        <w:rPr>
          <w:b w:val="0"/>
          <w:i w:val="0"/>
        </w:rPr>
        <w:t xml:space="preserve"> which is the subject of Key Innovation 1.</w:t>
      </w:r>
    </w:p>
    <w:p>
      <w:pPr>
        <w:spacing w:before="120"/>
        <w:jc w:val="both"/>
      </w:pPr>
      <w:r>
        <w:rPr>
          <w:b/>
          <w:i w:val="0"/>
        </w:rPr>
        <w:t>Related development efforts in academia and industry.</w:t>
      </w:r>
      <w:r>
        <w:rPr>
          <w:b w:val="0"/>
          <w:i w:val="0"/>
        </w:rPr>
        <w:t xml:space="preserve"> What the science has settled is that hands-on navigation works. Unmet daily-activity needs predict downstream utilization and placement,</w:t>
      </w:r>
      <w:r>
        <w:rPr>
          <w:b w:val="0"/>
          <w:i w:val="0"/>
          <w:vertAlign w:val="superscript"/>
        </w:rPr>
        <w:t>4,5</w:t>
      </w:r>
      <w:r>
        <w:rPr>
          <w:b w:val="0"/>
          <w:i w:val="0"/>
        </w:rPr>
        <w:t xml:space="preserve"> which is why we measure care established rather than clinical endpoints, and home-based support trials, principally CAPABLE, show that function-focused support reduces disability with savings well above program cost. Studies of digital caregiver navigation tools, four of them our own, establish that such platforms can be built and measured as usable and accepted.</w:t>
      </w:r>
      <w:r>
        <w:rPr>
          <w:b w:val="0"/>
          <w:i w:val="0"/>
          <w:vertAlign w:val="superscript"/>
        </w:rPr>
        <w:t>20,21,22,23</w:t>
      </w:r>
      <w:r>
        <w:rPr>
          <w:b w:val="0"/>
          <w:i w:val="0"/>
        </w:rPr>
        <w:t xml:space="preserve"> What remains unresolved is how to deliver that support at open access, at scale, through to a confirmed start, and on economics that sustain themselves without a grant. That is a commercialization problem rather than a scientific one.</w:t>
      </w:r>
    </w:p>
    <w:p>
      <w:pPr>
        <w:jc w:val="both"/>
      </w:pPr>
      <w:r>
        <w:rPr>
          <w:b w:val="0"/>
          <w:i w:val="0"/>
        </w:rPr>
        <w:t>The causes of the caregiver shortage are equally well documented and largely economic: median annual earnings for direct-care workers are just under $26,000,</w:t>
      </w:r>
      <w:r>
        <w:rPr>
          <w:b w:val="0"/>
          <w:i w:val="0"/>
          <w:vertAlign w:val="superscript"/>
        </w:rPr>
        <w:t>8</w:t>
      </w:r>
      <w:r>
        <w:rPr>
          <w:b w:val="0"/>
          <w:i w:val="0"/>
        </w:rPr>
        <w:t xml:space="preserve"> the work is demanding, career ladders are short, and median turnover in home care runs near 75 percent a year.</w:t>
      </w:r>
      <w:r>
        <w:rPr>
          <w:b w:val="0"/>
          <w:i w:val="0"/>
          <w:vertAlign w:val="superscript"/>
        </w:rPr>
        <w:t>15</w:t>
      </w:r>
      <w:r>
        <w:rPr>
          <w:b w:val="0"/>
          <w:i w:val="0"/>
        </w:rPr>
        <w:t xml:space="preserve"> Both the literature and the industry response concentrate on retaining and competing for the workers already in the field. Comparatively little has addressed enlarging the labor pool itself by building infrastructure that brings new people into caregiving, which is the gap Key Innovation 1 addresses.</w:t>
      </w:r>
    </w:p>
    <w:p>
      <w:pPr>
        <w:spacing w:before="120"/>
        <w:jc w:val="both"/>
      </w:pPr>
      <w:r>
        <w:rPr>
          <w:b/>
          <w:i w:val="0"/>
        </w:rPr>
        <w:t>Hurdles to adoption.</w:t>
      </w:r>
      <w:r>
        <w:rPr>
          <w:b w:val="0"/>
          <w:i w:val="0"/>
        </w:rPr>
        <w:t xml:space="preserve"> Three groups have to adopt this, and each has a distinct reason not to. </w:t>
      </w:r>
      <w:r>
        <w:rPr>
          <w:b w:val="0"/>
          <w:i/>
        </w:rPr>
        <w:t>Families</w:t>
      </w:r>
      <w:r>
        <w:rPr>
          <w:b w:val="0"/>
          <w:i w:val="0"/>
        </w:rPr>
        <w:t xml:space="preserve"> must trust an AI system with decisions about someone they love, and acceptance research finds willingness that is real but conditional: among 199 family caregivers surveyed, 62 percent intended to use AI-enabled care technology, with trust and perceived cost among the significant predictors.</w:t>
      </w:r>
      <w:r>
        <w:rPr>
          <w:b w:val="0"/>
          <w:i w:val="0"/>
          <w:vertAlign w:val="superscript"/>
        </w:rPr>
        <w:t>24</w:t>
      </w:r>
      <w:r>
        <w:rPr>
          <w:b w:val="0"/>
          <w:i w:val="0"/>
        </w:rPr>
        <w:t xml:space="preserve"> We answer trust with verification rather than assurance, so every answer comes from a database audited by a blinded expert panel in Aim 1 and acceptance is measured under IRB approval in Aim 2; we answer cost by charging families nothing.</w:t>
      </w:r>
    </w:p>
    <w:p>
      <w:pPr>
        <w:jc w:val="both"/>
      </w:pPr>
      <w:r>
        <w:rPr>
          <w:b w:val="0"/>
          <w:i/>
        </w:rPr>
        <w:t>Providers</w:t>
      </w:r>
      <w:r>
        <w:rPr>
          <w:b w:val="0"/>
          <w:i w:val="0"/>
        </w:rPr>
        <w:t xml:space="preserve"> are wary of platforms that promise volume and deliver overhead, so Aim 2 removes the purchase decision by giving them the product free, leaving only the question of whether the workflow produces hires; Aim 3 then asks a different set of providers to pay, once that is answered on operating data rather than a pitch. </w:t>
      </w:r>
      <w:r>
        <w:rPr>
          <w:b w:val="0"/>
          <w:i/>
        </w:rPr>
        <w:t>New caregivers</w:t>
      </w:r>
      <w:r>
        <w:rPr>
          <w:b w:val="0"/>
          <w:i w:val="0"/>
        </w:rPr>
        <w:t xml:space="preserve"> must be safely integrated into the workforce and well received by the providers who take them on, which is why Aim 2 measures the pathway end to end. All three have to happen in one market at once, at a cost that market's revenue supports. </w:t>
      </w:r>
      <w:r>
        <w:rPr>
          <w:b/>
          <w:i w:val="0"/>
        </w:rPr>
        <w:t>The aims are built around these hurdles, with prespecified alternative strategies if any gate fails.</w:t>
      </w:r>
    </w:p>
    <w:p>
      <w:pPr>
        <w:spacing w:before="180" w:after="40"/>
        <w:jc w:val="left"/>
        <w:pBdr>
          <w:bottom w:val="single" w:sz="10" w:space="2" w:color="000000"/>
        </w:pBdr>
      </w:pPr>
      <w:r>
        <w:rPr>
          <w:b/>
        </w:rPr>
        <w:t>INNOVATION</w:t>
      </w:r>
    </w:p>
    <w:p>
      <w:pPr>
        <w:spacing w:before="120"/>
        <w:jc w:val="both"/>
      </w:pPr>
      <w:r>
        <w:rPr>
          <w:b/>
          <w:i w:val="0"/>
        </w:rPr>
        <w:t>Figure 4.</w:t>
      </w:r>
      <w:r>
        <w:rPr>
          <w:b w:val="0"/>
          <w:i w:val="0"/>
        </w:rPr>
        <w:t xml:space="preserve"> Existing channels move workers between employers. This pathway adds them, and the verified record follows the worker.</w:t>
      </w:r>
    </w:p>
    <w:p>
      <w:pPr>
        <w:jc w:val="both"/>
      </w:pPr>
      <w:r>
        <w:rPr>
          <w:b w:val="0"/>
          <w:i w:val="0"/>
        </w:rPr>
        <w:t xml:space="preserve">That infrastructure is the innovation, not the recruiting. It is a technical pathway carrying a person with no eldercare experience through online training, screening, identity and credential verification, placement with a licensed employer, and supervised work, and issuing </w:t>
      </w:r>
      <w:r>
        <w:rPr>
          <w:b/>
          <w:i w:val="0"/>
        </w:rPr>
        <w:t>a verified, longitudinal record of their caregiving experience</w:t>
      </w:r>
      <w:r>
        <w:rPr>
          <w:b w:val="0"/>
          <w:i w:val="0"/>
        </w:rPr>
        <w:t xml:space="preserve">: hours worked, employers, training completed, competencies demonstrated, populations served including dementia care, supervisor evaluations, reliability, background checks, and references. That record travels with the worker. Nothing like it exists today, so a caregiver who changes employers starts over and is re-screened on work already verified. The record is what makes any new worker pool viable, and it improves with every shift worked. </w:t>
      </w:r>
      <w:r>
        <w:rPr>
          <w:b/>
          <w:i w:val="0"/>
        </w:rPr>
        <w:t>[TJ: confirm the name and scope of the verified worker record.]</w:t>
      </w:r>
    </w:p>
    <w:p>
      <w:pPr>
        <w:jc w:val="both"/>
      </w:pPr>
      <w:r>
        <w:rPr>
          <w:b/>
          <w:i w:val="0"/>
        </w:rPr>
        <w:t>The first population is health-professions students,</w:t>
      </w:r>
      <w:r>
        <w:rPr>
          <w:b w:val="0"/>
          <w:i w:val="0"/>
        </w:rPr>
        <w:t xml:space="preserve"> chosen because admission to their programs requires documented patient-care hours, which makes recruitment structurally inexpensive rather than a matter of wage competition. Health professions confer 263,800 undergraduate degrees a year,</w:t>
      </w:r>
      <w:r>
        <w:rPr>
          <w:b w:val="0"/>
          <w:i w:val="0"/>
          <w:vertAlign w:val="superscript"/>
        </w:rPr>
        <w:t>25</w:t>
      </w:r>
      <w:r>
        <w:rPr>
          <w:b w:val="0"/>
          <w:i w:val="0"/>
        </w:rPr>
        <w:t xml:space="preserve"> entry into nursing, medicine, and physician assistant training turns on documented direct patient care,</w:t>
      </w:r>
      <w:r>
        <w:rPr>
          <w:b w:val="0"/>
          <w:i w:val="0"/>
          <w:vertAlign w:val="superscript"/>
        </w:rPr>
        <w:t>26</w:t>
      </w:r>
      <w:r>
        <w:rPr>
          <w:b w:val="0"/>
          <w:i w:val="0"/>
        </w:rPr>
        <w:t xml:space="preserve"> and our own pilot drew more than 900 applicants. Nothing in the pathway is specific to students, though: it is population-agnostic by design, and Aim 2 measures it in one market with a health-professions campus nearby and one without, so the dependency is tested rather than assumed. Every step a worker takes also writes to the record described in Key Innovation 3.</w:t>
      </w:r>
    </w:p>
    <w:p>
      <w:pPr>
        <w:spacing w:before="120"/>
        <w:jc w:val="both"/>
      </w:pPr>
      <w:r>
        <w:rPr>
          <w:b/>
          <w:i w:val="0"/>
        </w:rPr>
        <w:t>Key Innovation 2: execution, not information.</w:t>
      </w:r>
      <w:r>
        <w:rPr>
          <w:b w:val="0"/>
          <w:i w:val="0"/>
        </w:rPr>
        <w:t xml:space="preserve"> The prevailing paradigm is that tools inform and families execute. Every step after the information is handed over is left to the family, and those are precisely the steps at which families are lost.</w:t>
      </w:r>
    </w:p>
    <w:p>
      <w:pPr>
        <w:jc w:val="both"/>
      </w:pPr>
      <w:r>
        <w:rPr>
          <w:b w:val="0"/>
          <w:i w:val="0"/>
        </w:rPr>
        <w:t xml:space="preserve">CareNavigator's agents perform that work and the family decides. The system operates across the whole ecosystem in Figure 1 rather than across benefit programs alone: public aid, insurance coverage, healthcare services, and long-term services and supports differ in what they pay for and are alike in what they require, and it is that shared administrative sequence the agents execute. A case runs from a detected need through eligibility and funding, a plan, the administrative work it requires, a provider with capacity, a caregiver to fill it, confirmed care, and what happened after. </w:t>
      </w:r>
      <w:r>
        <w:rPr>
          <w:b/>
          <w:i w:val="0"/>
        </w:rPr>
        <w:t>The unit of success changes from information delivered to care established.</w:t>
      </w:r>
      <w:r>
        <w:rPr>
          <w:b w:val="0"/>
          <w:i w:val="0"/>
        </w:rPr>
        <w:t xml:space="preserve"> That makes the outcome measurable, makes it saleable to an organization bearing the cost of unmet need, and makes the system improve, since every completed case becomes supervised training data for the next.</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The open web holds public directories and program rules, often neither accurate nor current, and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which providers take which payment sources, and which have capacity. We assembled that layer through field work, expert curation, and direct outreach, into more than 72,000 records covering all fifty states.</w:t>
      </w:r>
    </w:p>
    <w:p>
      <w:pPr>
        <w:jc w:val="both"/>
      </w:pPr>
      <w:r>
        <w:rPr>
          <w:b w:val="0"/>
          <w:i w:val="0"/>
        </w:rPr>
        <w:t xml:space="preserve">Beneath that sits a third layer that can only be learned by operating. For a specific household in a specific county: what looked appropriate, what was submitted, what the agency then asked for, where the process stalled, whether it was approved, how long it took, whether provider capacity existed, and what care was established. </w:t>
      </w:r>
      <w:r>
        <w:rPr>
          <w:b/>
          <w:i w:val="0"/>
        </w:rPr>
        <w:t>No public dataset holds it.</w:t>
      </w:r>
      <w:r>
        <w:rPr>
          <w:b w:val="0"/>
          <w:i w:val="0"/>
        </w:rPr>
        <w:t xml:space="preserve"> NHATS is a survey; claims data record what was billed, not what was needed and refused. Neither observes the interval between recognizing a need and care beginning, which is the interval in which the system fails them.</w:t>
      </w:r>
    </w:p>
    <w:p>
      <w:pPr>
        <w:jc w:val="both"/>
      </w:pPr>
      <w:r>
        <w:rPr>
          <w:b w:val="0"/>
          <w:i w:val="0"/>
        </w:rPr>
        <w:t xml:space="preserve">Execution is what produces that layer, and it compounds: more families produce more executed cases, which produce more observed rules, capacity, and outcomes, which produce better navigation, which establishes care for more families.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A competitor who copies every feature begins with an empty database. The measurement also exists nowhere else, for researchers or for the state agencies that plan around it, and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developed two products across Phases I through IIB: CareNavigator and Caregiver Staffing. Everything that could be established without customers has been (Table 7). What this award asks is whether the two work together in a local market and whether that market can pay for itself. </w:t>
      </w:r>
      <w:r>
        <w:rPr>
          <w:b/>
          <w:i w:val="0"/>
        </w:rPr>
        <w:t>The award answers that question in three stages</w:t>
      </w:r>
      <w:r>
        <w:rPr>
          <w:b w:val="0"/>
          <w:i w:val="0"/>
        </w:rPr>
        <w:t xml:space="preserve"> (Figure 5).</w:t>
      </w:r>
    </w:p>
    <w:p>
      <w:pPr>
        <w:keepNext/>
        <w:spacing w:before="80" w:after="40"/>
        <w:jc w:val="center"/>
      </w:pPr>
      <w:r>
        <w:drawing>
          <wp:inline xmlns:a="http://schemas.openxmlformats.org/drawingml/2006/main" xmlns:pic="http://schemas.openxmlformats.org/drawingml/2006/picture">
            <wp:extent cx="6035040" cy="1155776"/>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6035040" cy="1155776"/>
                    </a:xfrm>
                    <a:prstGeom prst="rect"/>
                  </pic:spPr>
                </pic:pic>
              </a:graphicData>
            </a:graphic>
          </wp:inline>
        </w:drawing>
      </w:r>
    </w:p>
    <w:p>
      <w:pPr>
        <w:spacing w:after="80"/>
        <w:jc w:val="left"/>
      </w:pPr>
      <w:r>
        <w:rPr>
          <w:b/>
          <w:i w:val="0"/>
          <w:sz w:val="18"/>
        </w:rPr>
        <w:t>Figure 5.</w:t>
      </w:r>
      <w:r>
        <w:rPr>
          <w:b w:val="0"/>
          <w:i w:val="0"/>
          <w:sz w:val="18"/>
        </w:rPr>
        <w:t xml:space="preserve"> The three aims as one sequence, each stage held by a gate.</w:t>
      </w:r>
    </w:p>
    <w:p>
      <w:pPr>
        <w:jc w:val="both"/>
      </w:pPr>
      <w:r>
        <w:rPr>
          <w:b w:val="0"/>
          <w:i w:val="0"/>
        </w:rPr>
        <w:t>Each stage carries a gate, and failure triggers a prespecified alternative strategy before the next stage begins: if Aim 1 misses verification, no market activates until the alternative engineering plan succeeds; if Aim 2 misses establishment, the alternative implementation plan runs before anything is sold. Primary endpoints are operational or economic and come from platform, billing, payroll, and employment records. Human subjects research sits inside the aims as Tasks 2.4 and 3.4, under Clemson University IRB approval with Dr. Fan as protocol lead; consent, privacy, data security, and risk assessment are in the PHS Human Subjects and Clinical Trials Information form.</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in this award waits on federal approval. Four regimes govern operations: family data under HIPAA-aligned safeguards; referral practice, where charging no fee means no steering incentive exists; employment, training, insurance, and supervision of placed workers, which rest with the licensed provider rather than with Olera; and any joining of an external record to ours, which requires a data-use agreement and an IRB determination.</w:t>
      </w:r>
    </w:p>
    <w:p>
      <w:pPr>
        <w:spacing w:before="180" w:after="60"/>
        <w:jc w:val="left"/>
        <w:keepNext/>
        <w:pBdr>
          <w:bottom w:val="single" w:sz="6" w:space="2" w:color="14453F"/>
        </w:pBdr>
      </w:pPr>
      <w:r>
        <w:rPr>
          <w:b/>
          <w:i w:val="0"/>
          <w:color w:val="14453F"/>
        </w:rPr>
        <w:t>Specific Aim 1: Engineer and verify the technology and infrastructure both products require.</w:t>
      </w:r>
      <w:r>
        <w:rPr>
          <w:b/>
          <w:i w:val="0"/>
          <w:color w:val="14453F"/>
        </w:rPr>
        <w:t xml:space="preserve"> </w:t>
      </w:r>
      <w:r>
        <w:rPr>
          <w:b/>
          <w:i/>
          <w:color w:val="14453F"/>
        </w:rPr>
        <w:t>(Year 1)</w:t>
      </w:r>
    </w:p>
    <w:p>
      <w:pPr>
        <w:jc w:val="both"/>
      </w:pPr>
      <w:r>
        <w:rPr>
          <w:b w:val="0"/>
          <w:i w:val="0"/>
        </w:rPr>
        <w:t>Aim 1 builds the AI agents that execute administrative work on a family's behalf, the infrastructure that carries a new caregiver into the workforce, and the data layer underneath both, then verifies that what CareNavigator produces is good enough to put in front of families and providers in Aim 2.</w:t>
      </w:r>
    </w:p>
    <w:p>
      <w:pPr>
        <w:spacing w:before="120"/>
        <w:jc w:val="both"/>
      </w:pPr>
      <w:r>
        <w:rPr>
          <w:b/>
          <w:i w:val="0"/>
        </w:rPr>
        <w:t>Engineering approach.</w:t>
      </w:r>
      <w:r>
        <w:rPr>
          <w:b w:val="0"/>
          <w:i w:val="0"/>
        </w:rPr>
        <w:t xml:space="preserve"> The platform runs today as a TypeScript and React web application over managed Postgres, with the agent and data services in Python, in one repository under trunk-based development with separate development, staging, and production environments; staging runs on a synthetic household corpus, so no real family record is used in testing. </w:t>
      </w:r>
      <w:r>
        <w:rPr>
          <w:b/>
          <w:i w:val="0"/>
        </w:rPr>
        <w:t>Agents are task-scoped rather than conversational.</w:t>
      </w:r>
      <w:r>
        <w:rPr>
          <w:b w:val="0"/>
          <w:i w:val="0"/>
        </w:rPr>
        <w:t xml:space="preserve"> One assembles a packet, one submits it, one follows up, one confirms the start date, each with a bounded set of tools and a single unit of work. An orchestration service holds case state in the database rather than a model's context window, so a case survives restarts, can be paused for family approval, and can be replayed exactly. Tools are exposed through the Model Context Protocol, so the same definitions run against either the Anthropic or the OpenAI agent runtimes and neither the model nor the vendor becomes a structural dependency. Model selection is by task: a reasoning model for planning and adjudication, a smaller one for extraction and classification, batch processing for offline re-verification. Every model output entering a workflow is validated against a strict schema before use, so a care and funding plan is a checked data object rather than prose to be parsed. </w:t>
      </w:r>
      <w:r>
        <w:rPr>
          <w:b/>
          <w:i w:val="0"/>
        </w:rPr>
        <w:t>[TJ: confirm runtime and model choices.]</w:t>
      </w:r>
    </w:p>
    <w:p>
      <w:pPr>
        <w:spacing w:before="120"/>
        <w:jc w:val="both"/>
      </w:pPr>
      <w:r>
        <w:rPr>
          <w:b/>
          <w:i w:val="0"/>
        </w:rPr>
        <w:t>Task 1.1: Execution and follow-up.</w:t>
      </w:r>
      <w:r>
        <w:rPr>
          <w:b w:val="0"/>
          <w:i w:val="0"/>
        </w:rPr>
        <w:t xml:space="preserve"> CareNavigator screens a household and identifies the aid and services it qualifies for; that much runs nationally today. This task builds what happens next. Families are lost at the same two points whether the resource is a public benefit, an insurance entitlement, or a home care agency: assembling what is required, and waiting for an answer. The execution loop builds the required package from the household record and the resource's requirements, submits it through whichever channel that resource accepts, and records what was sent. The follow-up loop schedules the next contact, answers requests for further documentation, escalates to a human navigator when a counterparty responds outside the expected pattern or model confidence falls below a set threshold, and closes the case only on a confirmed start date. Intake requirements are modeled per resource type rather than hard-coded per program, which is what lets aid and services share one sequence. Every action is idempotent and logged, and nothing leaves the system without the family's explicit approval.</w:t>
      </w:r>
    </w:p>
    <w:p>
      <w:pPr>
        <w:spacing w:before="120"/>
        <w:jc w:val="both"/>
      </w:pPr>
      <w:r>
        <w:rPr>
          <w:b/>
          <w:i w:val="0"/>
        </w:rPr>
        <w:t>Task 1.2: The aid, provider, and outcomes database.</w:t>
      </w:r>
      <w:r>
        <w:rPr>
          <w:b w:val="0"/>
          <w:i w:val="0"/>
        </w:rPr>
        <w:t xml:space="preserve"> The curated record of more than 72,000 aid programs and providers is expanded and re-verified on a rolling schedule, so accuracy does not decay as program rules change, and new instrumentation captures what each completed case decided: what was applied for, what was approved or denied, how long it took, and what care started. Retrieval is hybrid, combining lexical and vector search over program rules, forms, and the county-level operational record, and </w:t>
      </w:r>
      <w:r>
        <w:rPr>
          <w:b/>
          <w:i w:val="0"/>
        </w:rPr>
        <w:t>every assertion an agent makes carries a pointer to the record it came from</w:t>
      </w:r>
      <w:r>
        <w:rPr>
          <w:b w:val="0"/>
          <w:i w:val="0"/>
        </w:rPr>
        <w:t>, which is what makes the expert audit in Task 1.4 possible at all.</w:t>
      </w:r>
    </w:p>
    <w:p>
      <w:pPr>
        <w:spacing w:before="120"/>
        <w:jc w:val="both"/>
      </w:pPr>
      <w:r>
        <w:rPr>
          <w:b/>
          <w:i w:val="0"/>
        </w:rPr>
        <w:t>Task 1.3: Caregiver workforce infrastructure.</w:t>
      </w:r>
      <w:r>
        <w:rPr>
          <w:b w:val="0"/>
          <w:i w:val="0"/>
        </w:rPr>
        <w:t xml:space="preserve"> This task builds recruitment and screening workflows, training and credential tracking, and the provider-facing placement interface, replacing the manual delivery that capped the pilot. The verified experience record accumulates hours, competencies, populations served, supervisor evaluations, and credential status, and is issued to the worker as a portable credential. Identity, background check, and credential verification run through third-party services behind one internal interface, and provider-side integration is by scheduled export and a documented API rather than per-agency custom work, which is what makes the eight-market entry in Aim 3 affordable.</w:t>
      </w:r>
    </w:p>
    <w:p>
      <w:pPr>
        <w:spacing w:before="120"/>
        <w:jc w:val="both"/>
      </w:pPr>
      <w:r>
        <w:rPr>
          <w:b/>
          <w:i w:val="0"/>
        </w:rPr>
        <w:t>Task 1.4: Verification against blinded expert review.</w:t>
      </w:r>
      <w:r>
        <w:rPr>
          <w:b w:val="0"/>
          <w:i w:val="0"/>
        </w:rPr>
        <w:t xml:space="preserve"> A three-person panel of licensed clinical social workers, independent of the engineering team and holding no equity in Olera, evaluates what CareNavigator produces. </w:t>
      </w:r>
      <w:r>
        <w:rPr>
          <w:b w:val="0"/>
          <w:i/>
        </w:rPr>
        <w:t>What is evaluated.</w:t>
      </w:r>
      <w:r>
        <w:rPr>
          <w:b w:val="0"/>
          <w:i w:val="0"/>
        </w:rPr>
        <w:t xml:space="preserve"> A case is one household scenario; the output under review is the care and funding plan the system generates for it, together with the executable tasks that plan produces. </w:t>
      </w:r>
      <w:r>
        <w:rPr>
          <w:b w:val="0"/>
          <w:i/>
        </w:rPr>
        <w:t>Design.</w:t>
      </w:r>
      <w:r>
        <w:rPr>
          <w:b w:val="0"/>
          <w:i w:val="0"/>
        </w:rPr>
        <w:t xml:space="preserve"> Panelists work from predefined household scenarios, blinded to the platform's output, independently determining eligibility and, for a subset, preparing application packages by hand. Both are compared with the platform's output, category by category for eligibility and field by field for applications, and the plans are rated against a rubric for appropriateness, accuracy, and completeness. </w:t>
      </w:r>
      <w:r>
        <w:rPr>
          <w:b w:val="0"/>
          <w:i/>
        </w:rPr>
        <w:t>Sample and analysis.</w:t>
      </w:r>
      <w:r>
        <w:rPr>
          <w:b w:val="0"/>
          <w:i w:val="0"/>
        </w:rPr>
        <w:t xml:space="preserve"> A stratified random sample of 60 cases in each of the two quarters before the month 12 gate, 120 in all, sizes cumulative agreement to a 95 percent half-width of about 6 points, and the audit repeats annually thereafter. Agreement is reported as percent agreement with a 95 percent confidence interval and as Cohen's kappa, and inter-rater reliability among panelists is established before any system output is adjudicated. Every material error is reviewed rather than sampled, confirmed by a second reader, and audited households are held out of tuning data. Nick </w:t>
      </w:r>
      <w:r>
        <w:rPr>
          <w:b/>
          <w:i w:val="0"/>
        </w:rPr>
        <w:t>[SURNAME TBD]</w:t>
      </w:r>
      <w:r>
        <w:rPr>
          <w:b w:val="0"/>
          <w:i w:val="0"/>
        </w:rPr>
        <w:t>, LCSW, leads the panel and recruits its other two members; his Letter of Support is included. This is internal product verification, not human subjects research, and a determination will be obtained.</w:t>
      </w:r>
    </w:p>
    <w:p>
      <w:pPr>
        <w:spacing w:before="120"/>
        <w:jc w:val="both"/>
      </w:pPr>
      <w:r>
        <w:rPr>
          <w:b/>
          <w:i w:val="0"/>
        </w:rPr>
        <w:t>Potential problems, alternative strategies, and the gate to Aim 2.</w:t>
      </w:r>
      <w:r>
        <w:rPr>
          <w:b w:val="0"/>
          <w:i w:val="0"/>
        </w:rPr>
        <w:t xml:space="preserve"> Program rules change during a three-year award and would degrade accuracy through no fault of the system; the re-verification schedule in Task 1.2 addresses this. If expert agreement falls short of the gate, we narrow scope rather than widen it: automated execution is restricted to the resource categories where accuracy is highest, the remainder routed to human-assisted execution, and the boundary reported rather than averaged away. </w:t>
      </w:r>
      <w:r>
        <w:rPr>
          <w:b/>
          <w:i w:val="0"/>
        </w:rPr>
        <w:t>The criteria in Table 4 must be met before Aim 2 begins.</w:t>
      </w:r>
      <w:r>
        <w:rPr>
          <w:b w:val="0"/>
          <w:i w:val="0"/>
        </w:rPr>
        <w:t xml:space="preserve"> Year 1 also ends with the two markets selected and partnerships signed, so the month 12 gate is a launch decision rather than a software review.</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Agreement with the blinded expert panel</w:t>
            </w:r>
          </w:p>
        </w:tc>
        <w:tc>
          <w:tcPr>
            <w:tcW w:type="dxa" w:w="2052"/>
            <w:tcBorders>
              <w:bottom w:val="single" w:sz="2" w:space="0" w:color="B9C4BD"/>
            </w:tcBorders>
          </w:tcPr>
          <w:p>
            <w:pPr>
              <w:spacing w:after="20" w:before="20"/>
              <w:jc w:val="right"/>
            </w:pPr>
            <w:r/>
            <w:r>
              <w:rPr>
                <w:b w:val="0"/>
                <w:i w:val="0"/>
                <w:sz w:val="18"/>
              </w:rPr>
              <w:t>≥ 85%</w:t>
            </w:r>
          </w:p>
        </w:tc>
        <w:tc>
          <w:tcPr>
            <w:tcW w:type="dxa" w:w="4104"/>
            <w:tcBorders>
              <w:bottom w:val="single" w:sz="2" w:space="0" w:color="B9C4BD"/>
            </w:tcBorders>
          </w:tcPr>
          <w:p>
            <w:pPr>
              <w:spacing w:after="20" w:before="20"/>
              <w:jc w:val="left"/>
            </w:pPr>
            <w:r/>
            <w:r>
              <w:rPr>
                <w:b w:val="0"/>
                <w:i w:val="0"/>
                <w:sz w:val="18"/>
              </w:rPr>
              <w:t>120 audited cases before the gate, Task 1.4</w:t>
            </w:r>
          </w:p>
        </w:tc>
      </w:tr>
      <w:tr>
        <w:tc>
          <w:tcPr>
            <w:tcW w:type="dxa" w:w="4644"/>
            <w:tcBorders>
              <w:bottom w:val="single" w:sz="2" w:space="0" w:color="B9C4BD"/>
            </w:tcBorders>
          </w:tcPr>
          <w:p>
            <w:pPr>
              <w:spacing w:after="20" w:before="20"/>
              <w:jc w:val="left"/>
            </w:pPr>
            <w:r/>
            <w:r>
              <w:rPr>
                <w:b w:val="0"/>
                <w:i w:val="0"/>
                <w:sz w:val="18"/>
              </w:rPr>
              <w:t>Material errors against the expert gold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8" w:space="0" w:color="14453F"/>
            </w:tcBorders>
          </w:tcPr>
          <w:p>
            <w:pPr>
              <w:spacing w:after="20" w:before="20"/>
              <w:jc w:val="left"/>
            </w:pPr>
            <w:r/>
            <w:r>
              <w:rPr>
                <w:b w:val="0"/>
                <w:i w:val="0"/>
                <w:sz w:val="18"/>
              </w:rPr>
              <w:t>Execution loops complete end to end, aid and services</w:t>
            </w:r>
          </w:p>
        </w:tc>
        <w:tc>
          <w:tcPr>
            <w:tcW w:type="dxa" w:w="2052"/>
            <w:tcBorders>
              <w:bottom w:val="single" w:sz="8" w:space="0" w:color="14453F"/>
            </w:tcBorders>
          </w:tcPr>
          <w:p>
            <w:pPr>
              <w:spacing w:after="20" w:before="20"/>
              <w:jc w:val="right"/>
            </w:pPr>
            <w:r/>
            <w:r>
              <w:rPr>
                <w:b w:val="0"/>
                <w:i w:val="0"/>
                <w:sz w:val="18"/>
              </w:rPr>
              <w:t>Both paths</w:t>
            </w:r>
          </w:p>
        </w:tc>
        <w:tc>
          <w:tcPr>
            <w:tcW w:type="dxa" w:w="4104"/>
            <w:tcBorders>
              <w:bottom w:val="single" w:sz="8" w:space="0" w:color="14453F"/>
            </w:tcBorders>
          </w:tcPr>
          <w:p>
            <w:pPr>
              <w:spacing w:after="20" w:before="20"/>
              <w:jc w:val="left"/>
            </w:pPr>
            <w:r/>
            <w:r>
              <w:rPr>
                <w:b w:val="0"/>
                <w:i w:val="0"/>
                <w:sz w:val="18"/>
              </w:rPr>
              <w:t>Internal release testing</w:t>
            </w:r>
          </w:p>
        </w:tc>
      </w:tr>
    </w:tbl>
    <w:p>
      <w:pPr>
        <w:spacing w:after="80"/>
        <w:jc w:val="left"/>
      </w:pPr>
      <w:r>
        <w:rPr>
          <w:b/>
          <w:i w:val="0"/>
          <w:sz w:val="18"/>
        </w:rPr>
        <w:t>Table 4.</w:t>
      </w:r>
      <w:r>
        <w:rPr>
          <w:b w:val="0"/>
          <w:i w:val="0"/>
          <w:sz w:val="18"/>
        </w:rPr>
        <w:t xml:space="preserve"> Aim 1 quantitative success criteria.</w:t>
      </w:r>
    </w:p>
    <w:p>
      <w:pPr>
        <w:spacing w:after="100"/>
        <w:jc w:val="left"/>
      </w:pPr>
      <w:r>
        <w:rPr>
          <w:b w:val="0"/>
          <w:i/>
          <w:sz w:val="18"/>
        </w:rPr>
        <w:t>Gate: the first two criteria must be met at month 12 before Aim 2 activates.</w:t>
      </w:r>
    </w:p>
    <w:p>
      <w:pPr>
        <w:spacing w:before="180" w:after="60"/>
        <w:jc w:val="left"/>
        <w:keepNext/>
        <w:pBdr>
          <w:bottom w:val="single" w:sz="6" w:space="2" w:color="14453F"/>
        </w:pBdr>
      </w:pPr>
      <w:r>
        <w:rPr>
          <w:b/>
          <w:i w:val="0"/>
          <w:color w:val="14453F"/>
        </w:rPr>
        <w:t>Specific Aim 2: Validate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Aim 2 also measures what it costs to acquire and serve the participants a working market requires.</w:t>
      </w:r>
    </w:p>
    <w:p>
      <w:pPr>
        <w:spacing w:before="120"/>
        <w:jc w:val="both"/>
      </w:pPr>
      <w:r>
        <w:rPr>
          <w:b/>
          <w:i w:val="0"/>
        </w:rPr>
        <w:t>Task 2.1: Activate the two pilot markets.</w:t>
      </w:r>
      <w:r>
        <w:rPr>
          <w:b w:val="0"/>
          <w:i w:val="0"/>
        </w:rPr>
        <w:t xml:space="preserve"> Markets are ranked on organic family traffic, provider density, what a household can secure under that state's aid rules, and proximity to a health-professions campus. Two are selected, one with a campus nearby and one without, so the campus dependency is tested while it is still free to learn. The fair reviewer question is how enough families and providers reach one local market at all. Table 3 lists the channels activated on each side and what each has already produced. Providers get both products free for the life of the award. Every activation is tagged by source, market, and cohort, and any channel that misses its cost ceiling is closed rather than carried.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188"/>
            <w:tcBorders>
              <w:bottom w:val="single" w:sz="8" w:space="0" w:color="14453F"/>
            </w:tcBorders>
          </w:tcPr>
          <w:p>
            <w:pPr>
              <w:spacing w:after="20" w:before="20"/>
              <w:jc w:val="left"/>
            </w:pPr>
            <w:r/>
            <w:r>
              <w:rPr>
                <w:b/>
                <w:i w:val="0"/>
                <w:color w:val="14453F"/>
                <w:sz w:val="18"/>
              </w:rPr>
              <w:t>Side</w:t>
            </w:r>
          </w:p>
        </w:tc>
        <w:tc>
          <w:tcPr>
            <w:tcW w:type="dxa" w:w="4752"/>
            <w:tcBorders>
              <w:bottom w:val="single" w:sz="8" w:space="0" w:color="14453F"/>
            </w:tcBorders>
          </w:tcPr>
          <w:p>
            <w:pPr>
              <w:spacing w:after="20" w:before="20"/>
              <w:jc w:val="left"/>
            </w:pPr>
            <w:r/>
            <w:r>
              <w:rPr>
                <w:b/>
                <w:i w:val="0"/>
                <w:color w:val="14453F"/>
                <w:sz w:val="18"/>
              </w:rPr>
              <w:t>Channels already producing for us</w:t>
            </w:r>
          </w:p>
        </w:tc>
        <w:tc>
          <w:tcPr>
            <w:tcW w:type="dxa" w:w="4860"/>
            <w:tcBorders>
              <w:bottom w:val="single" w:sz="8" w:space="0" w:color="14453F"/>
            </w:tcBorders>
          </w:tcPr>
          <w:p>
            <w:pPr>
              <w:spacing w:after="20" w:before="20"/>
              <w:jc w:val="left"/>
            </w:pPr>
            <w:r/>
            <w:r>
              <w:rPr>
                <w:b/>
                <w:i w:val="0"/>
                <w:color w:val="14453F"/>
                <w:sz w:val="18"/>
              </w:rPr>
              <w:t>Channels added in Aim 2</w:t>
            </w:r>
          </w:p>
        </w:tc>
      </w:tr>
      <w:tr>
        <w:tc>
          <w:tcPr>
            <w:tcW w:type="dxa" w:w="1188"/>
            <w:tcBorders>
              <w:bottom w:val="single" w:sz="2" w:space="0" w:color="B9C4BD"/>
            </w:tcBorders>
          </w:tcPr>
          <w:p>
            <w:pPr>
              <w:spacing w:after="20" w:before="20"/>
              <w:jc w:val="left"/>
            </w:pPr>
            <w:r/>
            <w:r>
              <w:rPr>
                <w:b/>
                <w:i w:val="0"/>
                <w:sz w:val="18"/>
              </w:rPr>
              <w:t>Families</w:t>
            </w:r>
          </w:p>
        </w:tc>
        <w:tc>
          <w:tcPr>
            <w:tcW w:type="dxa" w:w="4752"/>
            <w:tcBorders>
              <w:bottom w:val="single" w:sz="2" w:space="0" w:color="B9C4BD"/>
            </w:tcBorders>
          </w:tcPr>
          <w:p>
            <w:pPr>
              <w:spacing w:after="20" w:before="20"/>
              <w:jc w:val="left"/>
            </w:pPr>
            <w:r/>
            <w:r>
              <w:rPr>
                <w:b w:val="0"/>
                <w:i w:val="0"/>
                <w:sz w:val="18"/>
              </w:rPr>
              <w:t>Organic search and published guidance: about 15,500 visits a month, from nearly every county, at near-zero acquisition cost</w:t>
            </w:r>
          </w:p>
        </w:tc>
        <w:tc>
          <w:tcPr>
            <w:tcW w:type="dxa" w:w="4860"/>
            <w:tcBorders>
              <w:bottom w:val="single" w:sz="2" w:space="0" w:color="B9C4BD"/>
            </w:tcBorders>
          </w:tcPr>
          <w:p>
            <w:pPr>
              <w:spacing w:after="20" w:before="20"/>
              <w:jc w:val="left"/>
            </w:pPr>
            <w:r/>
            <w:r>
              <w:rPr>
                <w:b w:val="0"/>
                <w:i w:val="0"/>
                <w:sz w:val="18"/>
              </w:rPr>
              <w:t>Area agencies on aging, faith and community organizations, hospital discharge teams and clinical referral</w:t>
            </w:r>
          </w:p>
        </w:tc>
      </w:tr>
      <w:tr>
        <w:tc>
          <w:tcPr>
            <w:tcW w:type="dxa" w:w="1188"/>
            <w:tcBorders>
              <w:bottom w:val="single" w:sz="2" w:space="0" w:color="B9C4BD"/>
            </w:tcBorders>
          </w:tcPr>
          <w:p>
            <w:pPr>
              <w:spacing w:after="20" w:before="20"/>
              <w:jc w:val="left"/>
            </w:pPr>
            <w:r/>
            <w:r>
              <w:rPr>
                <w:b/>
                <w:i w:val="0"/>
                <w:sz w:val="18"/>
              </w:rPr>
              <w:t>Providers</w:t>
            </w:r>
          </w:p>
        </w:tc>
        <w:tc>
          <w:tcPr>
            <w:tcW w:type="dxa" w:w="4752"/>
            <w:tcBorders>
              <w:bottom w:val="single" w:sz="2" w:space="0" w:color="B9C4BD"/>
            </w:tcBorders>
          </w:tcPr>
          <w:p>
            <w:pPr>
              <w:spacing w:after="20" w:before="20"/>
              <w:jc w:val="left"/>
            </w:pPr>
            <w:r/>
            <w:r>
              <w:rPr>
                <w:b w:val="0"/>
                <w:i w:val="0"/>
                <w:sz w:val="18"/>
              </w:rPr>
              <w:t>Claimed listings on the free tools, more than 700 to date and about 150 more each month; direct outreach, more than 300 I-Corps discovery conversations</w:t>
            </w:r>
          </w:p>
        </w:tc>
        <w:tc>
          <w:tcPr>
            <w:tcW w:type="dxa" w:w="4860"/>
            <w:tcBorders>
              <w:bottom w:val="single" w:sz="2" w:space="0" w:color="B9C4BD"/>
            </w:tcBorders>
          </w:tcPr>
          <w:p>
            <w:pPr>
              <w:spacing w:after="20" w:before="20"/>
              <w:jc w:val="left"/>
            </w:pPr>
            <w:r/>
            <w:r>
              <w:rPr>
                <w:b w:val="0"/>
                <w:i w:val="0"/>
                <w:sz w:val="18"/>
              </w:rPr>
              <w:t>Provider associations and franchise networks</w:t>
            </w:r>
          </w:p>
        </w:tc>
      </w:tr>
      <w:tr>
        <w:tc>
          <w:tcPr>
            <w:tcW w:type="dxa" w:w="1188"/>
            <w:tcBorders>
              <w:bottom w:val="single" w:sz="8" w:space="0" w:color="14453F"/>
            </w:tcBorders>
          </w:tcPr>
          <w:p>
            <w:pPr>
              <w:spacing w:after="20" w:before="20"/>
              <w:jc w:val="left"/>
            </w:pPr>
            <w:r/>
            <w:r>
              <w:rPr>
                <w:b/>
                <w:i w:val="0"/>
                <w:sz w:val="18"/>
              </w:rPr>
              <w:t>Caregivers</w:t>
            </w:r>
          </w:p>
        </w:tc>
        <w:tc>
          <w:tcPr>
            <w:tcW w:type="dxa" w:w="4752"/>
            <w:tcBorders>
              <w:bottom w:val="single" w:sz="8" w:space="0" w:color="14453F"/>
            </w:tcBorders>
          </w:tcPr>
          <w:p>
            <w:pPr>
              <w:spacing w:after="20" w:before="20"/>
              <w:jc w:val="left"/>
            </w:pPr>
            <w:r/>
            <w:r>
              <w:rPr>
                <w:b w:val="0"/>
                <w:i w:val="0"/>
                <w:sz w:val="18"/>
              </w:rPr>
              <w:t>Campus advisors and pre-health student organizations: the student pilot drew more than 900 applicants and placed more than 20</w:t>
            </w:r>
          </w:p>
        </w:tc>
        <w:tc>
          <w:tcPr>
            <w:tcW w:type="dxa" w:w="4860"/>
            <w:tcBorders>
              <w:bottom w:val="single" w:sz="8" w:space="0" w:color="14453F"/>
            </w:tcBorders>
          </w:tcPr>
          <w:p>
            <w:pPr>
              <w:spacing w:after="20" w:before="20"/>
              <w:jc w:val="left"/>
            </w:pPr>
            <w:r/>
            <w:r>
              <w:rPr>
                <w:b w:val="0"/>
                <w:i w:val="0"/>
                <w:sz w:val="18"/>
              </w:rPr>
              <w:t>Community colleges and workforce development boards, the primary non-student pool; career changers; referrals from placed workers</w:t>
            </w:r>
          </w:p>
        </w:tc>
      </w:tr>
    </w:tbl>
    <w:p>
      <w:pPr>
        <w:spacing w:after="80"/>
        <w:jc w:val="left"/>
      </w:pPr>
      <w:r>
        <w:rPr>
          <w:b/>
          <w:i w:val="0"/>
          <w:sz w:val="18"/>
        </w:rPr>
        <w:t>Table 3.</w:t>
      </w:r>
      <w:r>
        <w:rPr>
          <w:b w:val="0"/>
          <w:i w:val="0"/>
          <w:sz w:val="18"/>
        </w:rPr>
        <w:t xml:space="preserve"> Acquisition channels activated in each pilot market, and what each has produced to date.</w:t>
      </w:r>
    </w:p>
    <w:p>
      <w:pPr>
        <w:spacing w:after="100"/>
        <w:jc w:val="left"/>
      </w:pPr>
      <w:r>
        <w:rPr>
          <w:b w:val="0"/>
          <w:i/>
          <w:sz w:val="18"/>
        </w:rPr>
        <w:t>Every channel runs under a budget, an attribution window, and a cost ceiling set in advance; channels that miss the ceiling are closed rather than carried.</w:t>
      </w:r>
    </w:p>
    <w:p>
      <w:pPr>
        <w:spacing w:before="120"/>
        <w:jc w:val="both"/>
      </w:pPr>
      <w:r>
        <w:rPr>
          <w:b/>
          <w:i w:val="0"/>
        </w:rPr>
        <w:t>Task 2.2: Recruit, place, and retain caregivers.</w:t>
      </w:r>
      <w:r>
        <w:rPr>
          <w:b w:val="0"/>
          <w:i w:val="0"/>
        </w:rPr>
        <w:t xml:space="preserve"> The same table lists the workforce channels: campus advisors and pre-health student organizations in the campus market, and community colleges, workforce boards, and career-changer channels in both. Prior direct-care employment is ascertained at intake, before placement, so the share of workers new to the field is measured rather than inferred, and each placement is timestamped from application through screening, interview, hire, and first confirmed shift, giving time to hire and fill rate. Retention is reported by cohort at 90 days, separately for workers who stay with the placing provider and those who move to another licensed employer carrying their verified record, because a worker who changes employers still represents capacity added to the field. </w:t>
      </w:r>
      <w:r>
        <w:rPr>
          <w:b/>
          <w:i w:val="0"/>
        </w:rPr>
        <w:t>The month 21 gate requires half of the Aim 2 placements still in direct care at 90 days.</w:t>
      </w:r>
      <w:r>
        <w:rPr>
          <w:b w:val="0"/>
          <w:i w:val="0"/>
        </w:rPr>
        <w:t xml:space="preserve"> Below that a provider replaces half of what they bought within a quarter, which is where this stops being cheaper than what they already do.</w:t>
      </w:r>
    </w:p>
    <w:p>
      <w:pPr>
        <w:spacing w:before="120"/>
        <w:jc w:val="both"/>
      </w:pPr>
      <w:r>
        <w:rPr>
          <w:b/>
          <w:i w:val="0"/>
        </w:rPr>
        <w:t>Task 2.3: Measure care establishment.</w:t>
      </w:r>
      <w:r>
        <w:rPr>
          <w:b w:val="0"/>
          <w:i w:val="0"/>
        </w:rPr>
        <w:t xml:space="preserve"> Each household is followed from screening through the identified aid and services to a confirmed start date, recording the step at which any household stops. Enrollment is 400 households across the two markets, sizing the establishment proportion to a 95 percent confidence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clicks, impressions, and repeat contacts are excluded, and an outcome counts once.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w:t>
      </w:r>
    </w:p>
    <w:p>
      <w:pPr>
        <w:spacing w:before="120"/>
        <w:jc w:val="both"/>
      </w:pPr>
      <w:r>
        <w:rPr>
          <w:b/>
          <w:i w:val="0"/>
        </w:rPr>
        <w:t>Task 2.4: Validate the integrated system with families, providers, and workers.</w:t>
      </w:r>
      <w:r>
        <w:rPr>
          <w:b w:val="0"/>
          <w:i w:val="0"/>
        </w:rPr>
        <w:t xml:space="preserve"> </w:t>
      </w:r>
      <w:r>
        <w:rPr>
          <w:b w:val="0"/>
          <w:i/>
        </w:rPr>
        <w:t>(Human subjects research; Clemson University IRB.)</w:t>
      </w:r>
      <w:r>
        <w:rPr>
          <w:b w:val="0"/>
          <w:i w:val="0"/>
        </w:rPr>
        <w:t xml:space="preserve"> One study, two participant streams. Participants are adults 18 or older in three roles: family caregivers arranging care, provider decision-makers and staff, and placed caregivers; the older adults receiving care are the beneficiaries and are not enrolled. Recruitment targets at least the racial and ethnic composition of the two markets, and enrollment targets by sex, race, ethnicity, and age appear in the PHS Inclusion Enrollment Report.</w:t>
      </w:r>
    </w:p>
    <w:p>
      <w:pPr>
        <w:jc w:val="both"/>
      </w:pPr>
      <w:r>
        <w:rPr>
          <w:b w:val="0"/>
          <w:i/>
        </w:rPr>
        <w:t>Stream A, families.</w:t>
      </w:r>
      <w:r>
        <w:rPr>
          <w:b w:val="0"/>
          <w:i w:val="0"/>
        </w:rPr>
        <w:t xml:space="preserve"> Twenty-five family caregivers of people living with dementia complete a mixed-methods evaluation following the User Experience Evaluation in Intelligent Environments framework. Detecting a medium effect on the pre-post usability comparison at 80 percent power and a two-sided alpha of 0.05 requires 15 completers; enrollment is set at 25 against the 35 to 40 percent attrition reported for dementia caregiver studies. In a 60-minute moderated session each participant completes a needs assessment, reviews eligibility matches, prepares one application package, and locates the status of a filed application, thinking aloud while a moderator outside the engineering team records task success against criteria set in advance, time on task, errors, and assists. Post-use measures are the System Usability Scale and the 12-item trust-in-automation scale; surveys at four weeks and three months record whether the participant reached aid or care.</w:t>
      </w:r>
    </w:p>
    <w:p>
      <w:pPr>
        <w:jc w:val="both"/>
      </w:pPr>
      <w:r>
        <w:rPr>
          <w:b w:val="0"/>
          <w:i/>
        </w:rPr>
        <w:t>Stream B, providers and workers.</w:t>
      </w:r>
      <w:r>
        <w:rPr>
          <w:b w:val="0"/>
          <w:i w:val="0"/>
        </w:rPr>
        <w:t xml:space="preserve"> A sequential design. In the formative phase, about 30 provider participants across owner, recruiter, and scheduler roles and about 20 placed workers complete role-specific tasks against criteria set in advance, then an interview on workflow fit, supervision, training needs, and priorities for improvement; that gives at least five users per role, and recruitment continues in small batches until two raise no new high-priority issue. In the field phase the refined product runs through live semester cohorts in both markets, following about 60 provider accounts and 100 placed workers for three months. </w:t>
      </w:r>
      <w:r>
        <w:rPr>
          <w:b w:val="0"/>
          <w:i/>
        </w:rPr>
        <w:t>Measures and analysis.</w:t>
      </w:r>
      <w:r>
        <w:rPr>
          <w:b w:val="0"/>
          <w:i w:val="0"/>
        </w:rPr>
        <w:t xml:space="preserve"> The System Usability Scale is the primary usability outcome and the Acceptability, Appropriateness, and Feasibility of Intervention Measures are secondary; behavioral outcomes are critical-task completion, time to first value, repeat use, and support minutes. Binary outcomes are analyzed with generalized estimating equations using a logit link and an exchangeable working correlation, clustered at the provider organization with small-sample corrections, market a reporting stratum rather than a model term; estimates carry 95 percent confidence intervals and are implementation estimates, not between-group tests. Interviews across both streams are analyzed thematically against a shared codebook by two independent coders with inter-coder agreement reported, guided by the Consolidated Framework for Implementation Research and checked against COREQ. Research participation is separated from employment decisions and any commercial conversation, and worker responses are not shared with employers. Findings are integrated in a joint display and converted into an engineering backlog that must clear before the month 21 gate.</w:t>
      </w:r>
    </w:p>
    <w:p>
      <w:pPr>
        <w:spacing w:before="120"/>
        <w:jc w:val="both"/>
      </w:pPr>
      <w:r>
        <w:rPr>
          <w:b/>
          <w:i w:val="0"/>
        </w:rPr>
        <w:t>Task 2.5: Measure what it costs, and what it is worth.</w:t>
      </w:r>
      <w:r>
        <w:rPr>
          <w:b w:val="0"/>
          <w:i w:val="0"/>
        </w:rPr>
        <w:t xml:space="preserve"> Acquisition cost is measured per family and per provider by channel and market, each channel running under a budget, an attribution window, a cost ceiling, and a decision rule set in advance. Cost to serve is measured per established case and per placed worker by time-driven activity-based costing over agent compute, messages sent, navigator time, and support time. </w:t>
      </w:r>
      <w:r>
        <w:rPr>
          <w:b/>
          <w:i w:val="0"/>
        </w:rPr>
        <w:t>These figures are the denominators of every economic claim in Aim 3.</w:t>
      </w:r>
      <w:r>
        <w:rPr>
          <w:b w:val="0"/>
          <w:i w:val="0"/>
        </w:rPr>
        <w:t xml:space="preserve"> The same task asks free-pilot providers what the product was worth: shifts filled, workers hired, business they could accept that they would otherwise have declined, and what they consider a fair price. That runs apart from any sales conversation and seeds the price range Aim 3 tests.</w:t>
      </w:r>
    </w:p>
    <w:p>
      <w:pPr>
        <w:spacing w:before="120"/>
        <w:jc w:val="both"/>
      </w:pPr>
      <w:r>
        <w:rPr>
          <w:b/>
          <w:i w:val="0"/>
        </w:rPr>
        <w:t>Potential problems, alternative strategies, and the gate to Aim 3.</w:t>
      </w:r>
      <w:r>
        <w:rPr>
          <w:b w:val="0"/>
          <w:i w:val="0"/>
        </w:rPr>
        <w:t xml:space="preserve"> </w:t>
      </w:r>
      <w:r>
        <w:rPr>
          <w:b/>
          <w:i w:val="0"/>
        </w:rPr>
        <w:t>Worker retention is the most consequential risk in this application.</w:t>
      </w:r>
      <w:r>
        <w:rPr>
          <w:b w:val="0"/>
          <w:i w:val="0"/>
        </w:rPr>
        <w:t xml:space="preserve"> If people new to the field leave within 90 days, providers will not pay a second time and Aim 3 weakens no matter how well navigation performs. Retention is therefore reported both with the placing provider and in direct care with any licensed employer, because only the second speaks to capacity added; if retention with the placing provider is poor while workforce retention holds, the emphasis shifts from placement to the verified record itself, which providers value as reduced screening burden. If the campus-free market produces no caregivers, that is a finding rather than a loss: the family side continues there and Aim 3's market selection is revised toward the conditions that worked. If family volume is too low for providers to experience value, family acquisition is reallocated before any provider-side conclusion is drawn. </w:t>
      </w:r>
      <w:r>
        <w:rPr>
          <w:b/>
          <w:i w:val="0"/>
        </w:rPr>
        <w:t>The criteria in Table 5 must be met before any market is opened for sale.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2.3</w:t>
            </w:r>
          </w:p>
        </w:tc>
      </w:tr>
      <w:tr>
        <w:tc>
          <w:tcPr>
            <w:tcW w:type="dxa" w:w="4644"/>
            <w:tcBorders>
              <w:bottom w:val="single" w:sz="2" w:space="0" w:color="B9C4BD"/>
            </w:tcBorders>
          </w:tcPr>
          <w:p>
            <w:pPr>
              <w:spacing w:after="20" w:before="20"/>
              <w:jc w:val="left"/>
            </w:pPr>
            <w:r/>
            <w:r>
              <w:rPr>
                <w:b w:val="0"/>
                <w:i w:val="0"/>
                <w:sz w:val="18"/>
              </w:rPr>
              <w:t>Task completion, with drop-off per step,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2.3 funnel instrumentation</w:t>
            </w:r>
          </w:p>
        </w:tc>
      </w:tr>
      <w:tr>
        <w:tc>
          <w:tcPr>
            <w:tcW w:type="dxa" w:w="4644"/>
            <w:tcBorders>
              <w:bottom w:val="single" w:sz="2" w:space="0" w:color="B9C4BD"/>
            </w:tcBorders>
          </w:tcPr>
          <w:p>
            <w:pPr>
              <w:spacing w:after="20" w:before="20"/>
              <w:jc w:val="left"/>
            </w:pPr>
            <w:r/>
            <w:r>
              <w:rPr>
                <w:b w:val="0"/>
                <w:i w:val="0"/>
                <w:sz w:val="18"/>
              </w:rPr>
              <w:t>Usability, System Usability Scale</w:t>
            </w:r>
          </w:p>
        </w:tc>
        <w:tc>
          <w:tcPr>
            <w:tcW w:type="dxa" w:w="2052"/>
            <w:tcBorders>
              <w:bottom w:val="single" w:sz="2" w:space="0" w:color="B9C4BD"/>
            </w:tcBorders>
          </w:tcPr>
          <w:p>
            <w:pPr>
              <w:spacing w:after="20" w:before="20"/>
              <w:jc w:val="right"/>
            </w:pPr>
            <w:r/>
            <w:r>
              <w:rPr>
                <w:b w:val="0"/>
                <w:i w:val="0"/>
                <w:sz w:val="18"/>
              </w:rPr>
              <w:t>≥ 72</w:t>
            </w:r>
          </w:p>
        </w:tc>
        <w:tc>
          <w:tcPr>
            <w:tcW w:type="dxa" w:w="4104"/>
            <w:tcBorders>
              <w:bottom w:val="single" w:sz="2" w:space="0" w:color="B9C4BD"/>
            </w:tcBorders>
          </w:tcPr>
          <w:p>
            <w:pPr>
              <w:spacing w:after="20" w:before="20"/>
              <w:jc w:val="left"/>
            </w:pPr>
            <w:r/>
            <w:r>
              <w:rPr>
                <w:b w:val="0"/>
                <w:i w:val="0"/>
                <w:sz w:val="18"/>
              </w:rPr>
              <w:t>Task 2.4, IRB, n = 25 families</w:t>
            </w:r>
          </w:p>
        </w:tc>
      </w:tr>
      <w:tr>
        <w:tc>
          <w:tcPr>
            <w:tcW w:type="dxa" w:w="4644"/>
            <w:tcBorders>
              <w:bottom w:val="single" w:sz="2" w:space="0" w:color="B9C4BD"/>
            </w:tcBorders>
          </w:tcPr>
          <w:p>
            <w:pPr>
              <w:spacing w:after="20" w:before="20"/>
              <w:jc w:val="left"/>
            </w:pPr>
            <w:r/>
            <w:r>
              <w:rPr>
                <w:b w:val="0"/>
                <w:i w:val="0"/>
                <w:sz w:val="18"/>
              </w:rPr>
              <w:t>Trust in automation</w:t>
            </w:r>
          </w:p>
        </w:tc>
        <w:tc>
          <w:tcPr>
            <w:tcW w:type="dxa" w:w="2052"/>
            <w:tcBorders>
              <w:bottom w:val="single" w:sz="2" w:space="0" w:color="B9C4BD"/>
            </w:tcBorders>
          </w:tcPr>
          <w:p>
            <w:pPr>
              <w:spacing w:after="20" w:before="20"/>
              <w:jc w:val="right"/>
            </w:pPr>
            <w:r/>
            <w:r>
              <w:rPr>
                <w:b w:val="0"/>
                <w:i w:val="0"/>
                <w:sz w:val="18"/>
              </w:rPr>
              <w:t>≥ 5 of 7</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2.2</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2.5, activity-based costing</w:t>
            </w:r>
          </w:p>
        </w:tc>
      </w:tr>
    </w:tbl>
    <w:p>
      <w:pPr>
        <w:spacing w:after="80"/>
        <w:jc w:val="left"/>
      </w:pPr>
      <w:r>
        <w:rPr>
          <w:b/>
          <w:i w:val="0"/>
          <w:sz w:val="18"/>
        </w:rPr>
        <w:t>Table 5.</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80" w:after="60"/>
        <w:jc w:val="left"/>
        <w:keepNext/>
        <w:pBdr>
          <w:bottom w:val="single" w:sz="6" w:space="2" w:color="14453F"/>
        </w:pBdr>
      </w:pPr>
      <w:r>
        <w:rPr>
          <w:b/>
          <w:i w:val="0"/>
          <w:color w:val="14453F"/>
        </w:rPr>
        <w:t>Specific Aim 3: Commercialize the products in eight new paid markets.</w:t>
      </w:r>
      <w:r>
        <w:rPr>
          <w:b/>
          <w:i w:val="0"/>
          <w:color w:val="14453F"/>
        </w:rPr>
        <w:t xml:space="preserve"> </w:t>
      </w:r>
      <w:r>
        <w:rPr>
          <w:b/>
          <w:i/>
          <w:color w:val="14453F"/>
        </w:rPr>
        <w:t>(Years 2 to 3)</w:t>
      </w:r>
    </w:p>
    <w:p>
      <w:pPr>
        <w:jc w:val="both"/>
      </w:pPr>
      <w:r>
        <w:rPr>
          <w:b w:val="0"/>
          <w:i w:val="0"/>
        </w:rPr>
        <w:t>Aims 1 and 2 establish that the products work. Aim 3 asks whether the model generates enough revenue in new paid markets to cover what those markets cost to run, and whether the market-entry playbook works in the hands of people who did not write it.</w:t>
      </w:r>
    </w:p>
    <w:p>
      <w:pPr>
        <w:spacing w:before="120"/>
        <w:jc w:val="both"/>
      </w:pPr>
      <w:r>
        <w:rPr>
          <w:b/>
          <w:i w:val="0"/>
        </w:rPr>
        <w:t>Task 3.1: Open eight new markets.</w:t>
      </w:r>
      <w:r>
        <w:rPr>
          <w:b w:val="0"/>
          <w:i w:val="0"/>
        </w:rPr>
        <w:t xml:space="preserve"> The eight are selected on the Task 2.1 criteria applied to a national ranking, and open in two waves of four: wave one at month 21, wave two at month 30. The waves are sequential on purpose. Wave one tells us what the playbook gets wrong in a market we did not design in, and those corrections are written into it before wave two opens; wave two is then run by staff who did not write it, with every deviation logged, which is the test of whether market entry transfers to people rather than living in the founders' heads. Each market runs the acquisition playbooks produced in Aim 2, and the waves are compared on time to first provider, cost per activation, and the self-service share of activations. Every market here is new, so paid conversion carries no prior-gift confound. Entering a market costs roughly $30,000, so all ten together are about $300,000, under eight percent of the funds requested; the binding constraint on this aim is operating attention, not capital.</w:t>
      </w:r>
    </w:p>
    <w:p>
      <w:pPr>
        <w:spacing w:before="120"/>
        <w:jc w:val="both"/>
      </w:pPr>
      <w:r>
        <w:rPr>
          <w:b/>
          <w:i w:val="0"/>
        </w:rPr>
        <w:t>Task 3.2: Set the price under real billing.</w:t>
      </w:r>
      <w:r>
        <w:rPr>
          <w:b w:val="0"/>
          <w:i w:val="0"/>
        </w:rPr>
        <w:t xml:space="preserve"> What providers will actually pay is not something we know yet, which is why it is measured rather than assumed. The starting range comes from three sources: prices providers have already paid us, about $275 per month and about $150 per placement; what the free-pilot providers in Task 2.5 said the product was worth once they had used it; and a Van Westendorp price-sensitivity survey of about 120 provider decision-makers screened for purchase authority and drawn from both market types, whose cumulative response curves define the acceptable range. That survey runs under IRB approval, apart from any sales conversation.</w:t>
      </w:r>
    </w:p>
    <w:p>
      <w:pPr>
        <w:jc w:val="both"/>
      </w:pPr>
      <w:r>
        <w:rPr>
          <w:b/>
          <w:i w:val="0"/>
        </w:rPr>
        <w:t>Four prices are then offered, each in two of the eight markets.</w:t>
      </w:r>
      <w:r>
        <w:rPr>
          <w:b w:val="0"/>
          <w:i w:val="0"/>
        </w:rPr>
        <w:t xml:space="preserve"> Price is assigned by market rather than by account because providers in the same market compare quotes. Two prices would show only whether demand rises or falls; four show where it turns, which is what choosing a price requires. Within each pair, one market has a health-professions campus nearby and one does not, so price is crossed with workforce source rather than confounded with it. Price points, packages, the primary contrast, the follow-up horizon, and the decision rule are pre-registered before any outcome is reviewed; the primary outcome is paid conversion within 60 days of offer. </w:t>
      </w:r>
      <w:r>
        <w:rPr>
          <w:b w:val="0"/>
          <w:i/>
        </w:rPr>
        <w:t>Eight markets is eight units of assignment, and the analysis is designed for that rather than around it.</w:t>
      </w:r>
      <w:r>
        <w:rPr>
          <w:b w:val="0"/>
          <w:i w:val="0"/>
        </w:rPr>
        <w:t xml:space="preserve"> The primary comparison uses randomization inference: the observed difference between arms is referred to the distribution of differences the other possible price assignments would have produced, which is valid with few clusters and assumes nothing about large samples. Account-level generalized estimating equations, with market as the cluster and small-sample corrections, are pre-specified as secondary. About 40 accounts per market reach a priced offer, roughly 320 in all and 80 per arm, sizing account-level conversion to a 95 percent half-width near 10 points; a biostatistician confirms that sizing against the conversion rate measured in Aim 2 rather than an assumed one.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the economics, and have them independently validated.</w:t>
      </w:r>
      <w:r>
        <w:rPr>
          <w:b w:val="0"/>
          <w:i w:val="0"/>
        </w:rPr>
        <w:t xml:space="preserve"> Every figure comes from live billing, payroll, and cost records. Acquisition cost includes spending on accounts that never converted, and monthly margin per account is revenue less the cost to serve from Task 2.5. Retention is estimated at 3, 6, 9, and 12 months using discrete-time survival models on account-month records matching the billing cycle, treating cancellation, uncured payment failure, and downgrade as separate ways of leaving; expected account lifetime multiplied by monthly margin gives lifetime value with a confidence interval rather than a point estimate. Profitability is reported market by market, flagged as descriptive below 20 paying accounts. </w:t>
      </w:r>
      <w:r>
        <w:rPr>
          <w:b/>
          <w:i w:val="0"/>
        </w:rPr>
        <w:t>ADC, a strategic accounting and CPA firm, then independently validates those numbers</w:t>
      </w:r>
      <w:r>
        <w:rPr>
          <w:b w:val="0"/>
          <w:i w:val="0"/>
        </w:rPr>
        <w:t xml:space="preserve"> under subcontract, working from the raw records and the pre-specified analysis plan without access to our operating model. ADC confirms revenue, acquisition cost, operating cost, retention, customer economics, and market-level profitability, and produces the financial package an investor requires; discrepancies against our operating model are investigated and reported rather than quietly reconciled. Their Letter of Support is included.</w:t>
      </w:r>
    </w:p>
    <w:p>
      <w:pPr>
        <w:spacing w:before="120"/>
        <w:jc w:val="both"/>
      </w:pPr>
      <w:r>
        <w:rPr>
          <w:b/>
          <w:i w:val="0"/>
        </w:rPr>
        <w:t>Task 3.4: The Aim 2 instruments at scale.</w:t>
      </w:r>
      <w:r>
        <w:rPr>
          <w:b w:val="0"/>
          <w:i w:val="0"/>
        </w:rPr>
        <w:t xml:space="preserve"> </w:t>
      </w:r>
      <w:r>
        <w:rPr>
          <w:b w:val="0"/>
          <w:i/>
        </w:rPr>
        <w:t>(Human subjects research; Clemson University IRB.)</w:t>
      </w:r>
      <w:r>
        <w:rPr>
          <w:b w:val="0"/>
          <w:i w:val="0"/>
        </w:rPr>
        <w:t xml:space="preserve"> The Task 2.4 measures are administered across the paid cohort at enrollment, four weeks, three months, and after any churn event; baseline perceived value enters the Task 3.3 survival models as a churn predictor specified in advance. After the interim review, about 30 providers are interviewed, sampled purposively across four groups, never converted, converted then churned, retained with low use, and retained with high use, at least six per group under a documented stopping rule. Interviews examine what was purchased, what value was perceived, how price was judged, and why accounts lapsed, and run apart from sales, support, and renewal contact. Providers who did not convert are offered a shortened format, because a sample of satisfied customers would answer the wrong question.</w:t>
      </w:r>
    </w:p>
    <w:p>
      <w:pPr>
        <w:spacing w:before="120"/>
        <w:jc w:val="both"/>
      </w:pPr>
      <w:r>
        <w:rPr>
          <w:b/>
          <w:i w:val="0"/>
        </w:rPr>
        <w:t>Task 3.5: Assemble the evidence package for institutional buyers.</w:t>
      </w:r>
      <w:r>
        <w:rPr>
          <w:b w:val="0"/>
          <w:i w:val="0"/>
        </w:rPr>
        <w:t xml:space="preserve"> The second customer class buys on avoided cost, and this task builds what that conversation requires without overclaiming what the award can prove. It assembles three things: the Aim 2 and Aim 3 records of what care began, for whom, and when; utilization-linked operational data wherever a partner can share it and a data-use agreement and IRB determination permit, so establishment is observed alongside real utilization rather than assumed against it; and a model built with external actuarial consultation, estimating the hospitalization and premature institutionalization established care would be expected to avoid, from published effect sizes and our measured establishment rates. </w:t>
      </w:r>
      <w:r>
        <w:rPr>
          <w:b/>
          <w:i w:val="0"/>
        </w:rPr>
        <w:t>That is modeled and estimated avoided cost, not causal proof, and is labeled that way in every artifact.</w:t>
      </w:r>
      <w:r>
        <w:rPr>
          <w:b w:val="0"/>
          <w:i w:val="0"/>
        </w:rPr>
        <w:t xml:space="preserve"> What it delivers is a defensible starting number and a specification of what a post-award proof-of-concept with a payer would have to measure.</w:t>
      </w:r>
    </w:p>
    <w:p>
      <w:pPr>
        <w:spacing w:before="120"/>
        <w:jc w:val="both"/>
      </w:pPr>
      <w:r>
        <w:rPr>
          <w:b/>
          <w:i w:val="0"/>
        </w:rPr>
        <w:t>Potential problems and alternative strategies.</w:t>
      </w:r>
      <w:r>
        <w:rPr>
          <w:b w:val="0"/>
          <w:i w:val="0"/>
        </w:rPr>
        <w:t xml:space="preserve"> Contamination across neighboring markets is the standard objection to market-level assignment; the pre-registered mitigations are non-adjacent pairing, a contamination monitor in the offer workflow, and account-level assignment specified in advance as a sensitivity analysis. If conversion is too low at every price for the arms to be distinguishable, the interim analysis reallocates and the result is reported as a finding. If price sits below cost to serve, the pre-registered alternatives run in order: improve the product where the Task 3.4 interviews locate the gap, reduce acquisition and serving cost, repackage, re-test in wave two. And if staffing revenue alone proves insufficient, the alternative commercialization pathway is the institutional customer class that Task 3.5 makes available, together with an employer-paid caregiver benefit on the same navigation product, contracted navigation for risk-bearing organizations on the GUIDE precedent, and aggregate market intelligence from the outcomes record. There is also a point at which we would stop. If, at the month 30 interim analysis, fewer than 40 percent of the workers placed in the wave-one paid markets remain in direct care at 90 days </w:t>
      </w:r>
      <w:r>
        <w:rPr>
          <w:b/>
          <w:i w:val="0"/>
        </w:rPr>
        <w:t>and</w:t>
      </w:r>
      <w:r>
        <w:rPr>
          <w:b w:val="0"/>
          <w:i w:val="0"/>
        </w:rPr>
        <w:t xml:space="preserve"> paid conversion is below 20 percent at every offered price, we hold wave two and redirect the remaining effort to completing and publishing the analysis. </w:t>
      </w:r>
      <w:r>
        <w:rPr>
          <w:b/>
          <w:i w:val="0"/>
        </w:rPr>
        <w:t>A commercialization program should fund projects willing to find out they are wrong.</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±10 pts per arm</w:t>
            </w:r>
          </w:p>
        </w:tc>
        <w:tc>
          <w:tcPr>
            <w:tcW w:type="dxa" w:w="4104"/>
            <w:tcBorders>
              <w:bottom w:val="single" w:sz="2" w:space="0" w:color="B9C4BD"/>
            </w:tcBorders>
          </w:tcPr>
          <w:p>
            <w:pPr>
              <w:spacing w:after="20" w:before="20"/>
              <w:jc w:val="left"/>
            </w:pPr>
            <w:r/>
            <w:r>
              <w:rPr>
                <w:b w:val="0"/>
                <w:i w:val="0"/>
                <w:sz w:val="18"/>
              </w:rPr>
              <w:t>Task 3.2, ~320 offers, randomization inference</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profitability after the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Independent validation delivered</w:t>
            </w:r>
          </w:p>
        </w:tc>
        <w:tc>
          <w:tcPr>
            <w:tcW w:type="dxa" w:w="2052"/>
            <w:tcBorders>
              <w:bottom w:val="single" w:sz="2" w:space="0" w:color="B9C4BD"/>
            </w:tcBorders>
          </w:tcPr>
          <w:p>
            <w:pPr>
              <w:spacing w:after="20" w:before="20"/>
              <w:jc w:val="right"/>
            </w:pPr>
            <w:r/>
            <w:r>
              <w:rPr>
                <w:b w:val="0"/>
                <w:i w:val="0"/>
                <w:sz w:val="18"/>
              </w:rPr>
              <w:t>Delivered</w:t>
            </w:r>
          </w:p>
        </w:tc>
        <w:tc>
          <w:tcPr>
            <w:tcW w:type="dxa" w:w="4104"/>
            <w:tcBorders>
              <w:bottom w:val="single" w:sz="2" w:space="0" w:color="B9C4BD"/>
            </w:tcBorders>
          </w:tcPr>
          <w:p>
            <w:pPr>
              <w:spacing w:after="20" w:before="20"/>
              <w:jc w:val="left"/>
            </w:pPr>
            <w:r/>
            <w:r>
              <w:rPr>
                <w:b w:val="0"/>
                <w:i w:val="0"/>
                <w:sz w:val="18"/>
              </w:rPr>
              <w:t>Task 3.3, ADC</w:t>
            </w:r>
          </w:p>
        </w:tc>
      </w:tr>
      <w:tr>
        <w:tc>
          <w:tcPr>
            <w:tcW w:type="dxa" w:w="4644"/>
            <w:tcBorders>
              <w:bottom w:val="single" w:sz="8" w:space="0" w:color="14453F"/>
            </w:tcBorders>
          </w:tcPr>
          <w:p>
            <w:pPr>
              <w:spacing w:after="20" w:before="20"/>
              <w:jc w:val="left"/>
            </w:pPr>
            <w:r/>
            <w:r>
              <w:rPr>
                <w:b w:val="0"/>
                <w:i w:val="0"/>
                <w:sz w:val="18"/>
              </w:rPr>
              <w:t>Institutional-buyer evidence package assembled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3.5</w:t>
            </w:r>
          </w:p>
        </w:tc>
      </w:tr>
    </w:tbl>
    <w:p>
      <w:pPr>
        <w:spacing w:after="80"/>
        <w:jc w:val="left"/>
      </w:pPr>
      <w:r>
        <w:rPr>
          <w:b/>
          <w:i w:val="0"/>
          <w:sz w:val="18"/>
        </w:rPr>
        <w:t>Table 6.</w:t>
      </w:r>
      <w:r>
        <w:rPr>
          <w:b w:val="0"/>
          <w:i w:val="0"/>
          <w:sz w:val="18"/>
        </w:rPr>
        <w:t xml:space="preserve"> Aim 3 quantitative success criteria.</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2.4 and 3.4 and holds the protocols, integrated through quarterly protocol review and the data-management procedures in the subaward. </w:t>
      </w:r>
      <w:r>
        <w:rPr>
          <w:b/>
          <w:i w:val="0"/>
        </w:rPr>
        <w:t>ADC</w:t>
      </w:r>
      <w:r>
        <w:rPr>
          <w:b w:val="0"/>
          <w:i w:val="0"/>
        </w:rPr>
        <w:t xml:space="preserve">, a strategic accounting and CPA firm, performs the independent financial validation in Task 3.3, and </w:t>
      </w:r>
      <w:r>
        <w:rPr>
          <w:b/>
          <w:i w:val="0"/>
        </w:rPr>
        <w:t>pricing, biostatistical, and actuarial consultation</w:t>
      </w:r>
      <w:r>
        <w:rPr>
          <w:b w:val="0"/>
          <w:i w:val="0"/>
        </w:rPr>
        <w:t xml:space="preserve"> supports the arm sizing in Task 3.2 and the modeling in Task 3.5. The Principal Investigator holds integration authority and every gate decision, against a quarterly milestone review of Tables 4 through 6. Consultant scopes and commercialization milestones are in the Project Management Plan.</w:t>
      </w:r>
    </w:p>
    <w:p>
      <w:pPr>
        <w:spacing w:before="120"/>
        <w:jc w:val="both"/>
      </w:pPr>
      <w:r>
        <w:rPr>
          <w:b/>
          <w:i w:val="0"/>
        </w:rPr>
        <w:t>Timetable and end deliverable.</w:t>
      </w:r>
      <w:r>
        <w:rPr>
          <w:b w:val="0"/>
          <w:i w:val="0"/>
        </w:rPr>
        <w:t xml:space="preserve"> Figure 6 gives the quarter-by-quarter schedule and the four decision points, each of which holds the next stage until its gate is met. </w:t>
      </w:r>
      <w:r>
        <w:rPr>
          <w:b/>
          <w:i w:val="0"/>
        </w:rPr>
        <w:t>What the award leaves behind is a commercially tested CareNavigator and workforce system, market economics replicated across eight markets and independently validated, and an evidence package for private investors and for the emerging institutional customer class.</w:t>
      </w:r>
      <w:r>
        <w:rPr>
          <w:b w:val="0"/>
          <w:i w:val="0"/>
        </w:rPr>
        <w:t xml:space="preserve"> The ten-market footprint is deliberately small: </w:t>
      </w:r>
      <w:r>
        <w:rPr>
          <w:b/>
          <w:i w:val="0"/>
        </w:rPr>
        <w:t>the markets are an instrument, not the deliverable.</w:t>
      </w:r>
      <w:r>
        <w:rPr>
          <w:b w:val="0"/>
          <w:i w:val="0"/>
        </w:rPr>
        <w:t xml:space="preserve"> The same dollars spent on a larger footprint would buy more revenue and less evidence, and evidence is what we do not have.</w:t>
      </w:r>
    </w:p>
    <w:p>
      <w:pPr>
        <w:keepNext/>
        <w:spacing w:before="80" w:after="40"/>
        <w:jc w:val="center"/>
      </w:pPr>
      <w:r>
        <w:drawing>
          <wp:inline xmlns:a="http://schemas.openxmlformats.org/drawingml/2006/main" xmlns:pic="http://schemas.openxmlformats.org/drawingml/2006/picture">
            <wp:extent cx="6400800" cy="1868424"/>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6400800" cy="1868424"/>
                    </a:xfrm>
                    <a:prstGeom prst="rect"/>
                  </pic:spPr>
                </pic:pic>
              </a:graphicData>
            </a:graphic>
          </wp:inline>
        </w:drawing>
      </w:r>
    </w:p>
    <w:p>
      <w:pPr>
        <w:spacing w:after="80"/>
        <w:jc w:val="left"/>
      </w:pPr>
      <w:r>
        <w:rPr>
          <w:b/>
          <w:i w:val="0"/>
          <w:sz w:val="18"/>
        </w:rPr>
        <w:t>Figure 6.</w:t>
      </w:r>
      <w:r>
        <w:rPr>
          <w:b w:val="0"/>
          <w:i w:val="0"/>
          <w:sz w:val="18"/>
        </w:rPr>
        <w:t xml:space="preserve"> Three-year timetable, showing the sequencing among the aims, staged market entry, and the four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and evaluated under Phase IIB using retrieval-augmented generation, parameter-efficient fine-tuning, and reinforcement learning from expert feedback, is in production integration during the remaining Phase IIB year. Execution and follow-up, which Aim 1 builds, do not exist in the product today and are not in scope for the existing award, so no budget line here re-funds Phase IIB work.</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and the Phase IIB review assessed the platform's commercial potential as extremely high, citing its ability to help caregivers access eligible funding. Table 7 records what each activity established and which funding produced it; two of the five entries were funded outside the Phase II scope, using I-Corps support and the company's own capital. RiskRetired byEvidence </w:t>
      </w:r>
      <w:r>
        <w:rPr>
          <w:b/>
          <w:i w:val="0"/>
        </w:rPr>
        <w:t>Technical</w:t>
      </w:r>
      <w:r>
        <w:br/>
      </w:r>
      <w:r>
        <w:rPr>
          <w:b w:val="0"/>
          <w:i w:val="0"/>
        </w:rPr>
        <w:t xml:space="preserve">Could the data be assembled?NIA Phase I to IIBAn expert-curated national database of more than 72,000 aid programs and providers across all fifty states, and a multi-agent eldercare AI entering production. </w:t>
      </w:r>
      <w:r>
        <w:rPr>
          <w:b/>
          <w:i w:val="0"/>
        </w:rPr>
        <w:t>User</w:t>
      </w:r>
      <w:r>
        <w:br/>
      </w:r>
      <w:r>
        <w:rPr>
          <w:b w:val="0"/>
          <w:i w:val="0"/>
        </w:rPr>
        <w:t xml:space="preserve">Would families accept it?NIA Phase I to IIBFour peer-reviewed evaluations with family caregivers: usability 4.57 of 5; acceptance 5.83 of 7 after four weeks (n = 65); multi-agent version 5.73 of 7 (n = 31). </w:t>
      </w:r>
      <w:r>
        <w:rPr>
          <w:b/>
          <w:i w:val="0"/>
        </w:rPr>
        <w:t>Demand</w:t>
      </w:r>
      <w:r>
        <w:br/>
      </w:r>
      <w:r>
        <w:rPr>
          <w:b w:val="0"/>
          <w:i w:val="0"/>
        </w:rPr>
        <w:t xml:space="preserve">Would families come, and at what cost?Beyond Phase II scope; company fundsOrganic traffic grew from roughly 50 visits a day in 2023 to more than 500 today, from nearly every county, at near-zero cost. </w:t>
      </w:r>
      <w:r>
        <w:rPr>
          <w:b/>
          <w:i w:val="0"/>
        </w:rPr>
        <w:t>Supply</w:t>
      </w:r>
      <w:r>
        <w:br/>
      </w:r>
      <w:r>
        <w:rPr>
          <w:b w:val="0"/>
          <w:i w:val="0"/>
        </w:rPr>
        <w:t xml:space="preserve">Would providers participate?I-Corps and company fundsMore than 300 customer-discovery conversations with owners and operators through NIH and NSF I-Corps; more than 700 providers have since claimed a listing at no charge. </w:t>
      </w:r>
      <w:r>
        <w:rPr>
          <w:b/>
          <w:i w:val="0"/>
        </w:rPr>
        <w:t>Workforce and willingness to pay</w:t>
      </w:r>
      <w:r>
        <w:br/>
      </w:r>
      <w:r>
        <w:rPr>
          <w:b w:val="0"/>
          <w:i w:val="0"/>
        </w:rPr>
        <w:t xml:space="preserve">Could we recruit caregivers, and would anyone pay?Beyond Phase II scope; company fundsA student caregiver pilot drew more than 900 applicants and placed more than 20 into provider jobs. Four providers trialed the staffing product and three paid, at roughly $50 to $275 per placement and $275 per month, across multiple semesters. Delivery was deliberately manual, to learn what the workflow had to do before building infrastructure for it. </w:t>
      </w:r>
      <w:r>
        <w:rPr>
          <w:b/>
          <w:i w:val="0"/>
        </w:rPr>
        <w:t>The risk that remains</w:t>
      </w:r>
      <w:r>
        <w:br/>
      </w:r>
      <w:r>
        <w:rPr>
          <w:b w:val="0"/>
          <w:i w:val="0"/>
        </w:rPr>
        <w:t xml:space="preserve">Can one local market pay for itself, and can we repeat it?Not yet retiredMeasurable only with real customers paying real prices, over long enough to observe churn. This is the uncertainty the three aims remove. </w:t>
      </w:r>
      <w:r>
        <w:rPr>
          <w:b/>
          <w:i w:val="0"/>
        </w:rPr>
        <w:t>Table 7.</w:t>
      </w:r>
      <w:r>
        <w:rPr>
          <w:b w:val="0"/>
          <w:i w:val="0"/>
        </w:rPr>
        <w:t xml:space="preserve"> Commercialization risks retired to date, the funding that retired each, and the risk that remains.</w:t>
      </w:r>
    </w:p>
    <w:p>
      <w:pPr>
        <w:spacing w:before="120"/>
        <w:jc w:val="both"/>
      </w:pPr>
      <w:r>
        <w:rPr>
          <w:b/>
          <w:i w:val="0"/>
        </w:rPr>
        <w:t>Investor diligence set these milestones.</w:t>
      </w:r>
      <w:r>
        <w:rPr>
          <w:b w:val="0"/>
          <w:i w:val="0"/>
        </w:rPr>
        <w:t xml:space="preserve"> Olera has been evaluated by Ziegler, the leading underwriter of financing for nonprofit senior living providers, and by Equitage Ventures, an early-stage fund dedicated to the aging economy. </w:t>
      </w:r>
      <w:r>
        <w:rPr>
          <w:b/>
          <w:i w:val="0"/>
        </w:rPr>
        <w:t>That diligence set the commercial endpoints in Tables 4 through 6, so the milestones here are the ones our prospective investors said they would need.</w:t>
      </w:r>
      <w:r>
        <w:rPr>
          <w:b w:val="0"/>
          <w:i w:val="0"/>
        </w:rPr>
        <w:t xml:space="preserve"> Dr. Falohun was Principal Investigator on both prior NIA awards and delivered against their milestones; Dr. Fan is Co-Investigator at 25 percent effort and holds every human subjects protocol. Nine years of investment answered everything that could be answered without customers; whether a local market pays for itself, and whether that repeats, has to be measured with real money changing hands.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 xml:space="preserve">1. Genworth Cost of Care Survey, most recent edition. </w:t>
      </w:r>
      <w:r>
        <w:rPr>
          <w:b/>
          <w:i w:val="0"/>
          <w:sz w:val="18"/>
        </w:rPr>
        <w:t>[CONFIRM EDITION AND YEAR]</w:t>
      </w:r>
    </w:p>
    <w:p>
      <w:pPr>
        <w:spacing w:after="60"/>
        <w:ind w:left="288" w:hanging="288"/>
        <w:jc w:val="left"/>
      </w:pPr>
      <w:r>
        <w:rPr>
          <w:b w:val="0"/>
          <w:i w:val="0"/>
          <w:sz w:val="18"/>
        </w:rPr>
        <w:t>2. National Council on Aging. Benefits access and unclaimed assistance for older adults. 2025.</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PHI. Direct Care Workers in the United States: Key Facts. September 2025.</w:t>
      </w:r>
    </w:p>
    <w:p>
      <w:pPr>
        <w:spacing w:after="60"/>
        <w:ind w:left="288" w:hanging="288"/>
        <w:jc w:val="left"/>
      </w:pPr>
      <w:r>
        <w:rPr>
          <w:b w:val="0"/>
          <w:i w:val="0"/>
          <w:sz w:val="18"/>
        </w:rPr>
        <w:t>9. Mudrazija S, Aranda MP. Current and future replacement and opportunity costs of family caregiving for older Americans with and without dementia. Innov Aging. 2025;9(6):igaf049.</w:t>
      </w:r>
    </w:p>
    <w:p>
      <w:pPr>
        <w:spacing w:after="60"/>
        <w:ind w:left="288" w:hanging="288"/>
        <w:jc w:val="left"/>
      </w:pPr>
      <w:r>
        <w:rPr>
          <w:b w:val="0"/>
          <w:i w:val="0"/>
          <w:sz w:val="18"/>
        </w:rPr>
        <w:t>10. KFF analysis of CMS National Health Expenditure and Medicaid long-term services and supports data, 2022. Of $415 billion in national LTSS spending, Medicaid paid 61 percent.</w:t>
      </w:r>
    </w:p>
    <w:p>
      <w:pPr>
        <w:spacing w:after="60"/>
        <w:ind w:left="288" w:hanging="288"/>
        <w:jc w:val="left"/>
      </w:pPr>
      <w:r>
        <w:rPr>
          <w:b w:val="0"/>
          <w:i w:val="0"/>
          <w:sz w:val="18"/>
        </w:rPr>
        <w:t>11. Szanton SL, et al. Medicaid cost savings of a preventive home visit program for disabled older adults. J Am Geriatr Soc. 2018.</w:t>
      </w:r>
    </w:p>
    <w:p>
      <w:pPr>
        <w:spacing w:after="60"/>
        <w:ind w:left="288" w:hanging="288"/>
        <w:jc w:val="left"/>
      </w:pPr>
      <w:r>
        <w:rPr>
          <w:b w:val="0"/>
          <w:i w:val="0"/>
          <w:sz w:val="18"/>
        </w:rPr>
        <w:t>12. Szanton SL, et al. Effect of a biobehavioral environmental approach on disability among low-income older adults: a randomized clinical trial. 2021.</w:t>
      </w:r>
    </w:p>
    <w:p>
      <w:pPr>
        <w:spacing w:after="60"/>
        <w:ind w:left="288" w:hanging="288"/>
        <w:jc w:val="left"/>
      </w:pPr>
      <w:r>
        <w:rPr>
          <w:b w:val="0"/>
          <w:i w:val="0"/>
          <w:sz w:val="18"/>
        </w:rPr>
        <w:t>13. Centers for Medicare and Medicaid Services. National Health Expenditure Accounts, 2023.</w:t>
      </w:r>
    </w:p>
    <w:p>
      <w:pPr>
        <w:spacing w:after="60"/>
        <w:ind w:left="288" w:hanging="288"/>
        <w:jc w:val="left"/>
      </w:pPr>
      <w:r>
        <w:rPr>
          <w:b w:val="0"/>
          <w:i w:val="0"/>
          <w:sz w:val="18"/>
        </w:rPr>
        <w:t>14. National Center for Health Statistics. National Post-acute and Long-term Care Study, 2020.</w:t>
      </w:r>
    </w:p>
    <w:p>
      <w:pPr>
        <w:spacing w:after="60"/>
        <w:ind w:left="288" w:hanging="288"/>
        <w:jc w:val="left"/>
      </w:pPr>
      <w:r>
        <w:rPr>
          <w:b w:val="0"/>
          <w:i w:val="0"/>
          <w:sz w:val="18"/>
        </w:rPr>
        <w:t>15. Activated Insights. 2025 Home Care Benchmarking Report: median caregiver acquisition cost $520 through word of mouth; median professional caregiver turnover 75 percent.</w:t>
      </w:r>
    </w:p>
    <w:p>
      <w:pPr>
        <w:spacing w:after="60"/>
        <w:ind w:left="288" w:hanging="288"/>
        <w:jc w:val="left"/>
      </w:pPr>
      <w:r>
        <w:rPr>
          <w:b w:val="0"/>
          <w:i w:val="0"/>
          <w:sz w:val="18"/>
        </w:rPr>
        <w:t>16. Boushey H, Glynn SJ. There are significant business costs to replacing employees. Center for American Progress. 2012. Replacement cost for hourly workers estimated at 16 percent of annual pay.</w:t>
      </w:r>
    </w:p>
    <w:p>
      <w:pPr>
        <w:spacing w:after="60"/>
        <w:ind w:left="288" w:hanging="288"/>
        <w:jc w:val="left"/>
      </w:pPr>
      <w:r>
        <w:rPr>
          <w:b w:val="0"/>
          <w:i w:val="0"/>
          <w:sz w:val="18"/>
        </w:rPr>
        <w:t>17. Centers for Medicare and Medicaid Services. Guiding an Improved Dementia Experience (GUIDE) Model. Launched July 1, 2024.</w:t>
      </w:r>
    </w:p>
    <w:p>
      <w:pPr>
        <w:spacing w:after="60"/>
        <w:ind w:left="288" w:hanging="288"/>
        <w:jc w:val="left"/>
      </w:pPr>
      <w:r>
        <w:rPr>
          <w:b w:val="0"/>
          <w:i w:val="0"/>
          <w:sz w:val="18"/>
        </w:rPr>
        <w:t>18. U.S. Bureau of Labor Statistics. Occupational Outlook Handbook: social workers. Healthcare social workers projected to grow 6 percent, 2024 to 2034.</w:t>
      </w:r>
    </w:p>
    <w:p>
      <w:pPr>
        <w:spacing w:after="60"/>
        <w:ind w:left="288" w:hanging="288"/>
        <w:jc w:val="left"/>
      </w:pPr>
      <w:r>
        <w:rPr>
          <w:b w:val="0"/>
          <w:i w:val="0"/>
          <w:sz w:val="18"/>
        </w:rPr>
        <w:t>19. Published company materials for employer- and health-plan-sponsored caregiver navigation platforms, including Wellthy, Grayce, Cariloop, Homethrive, and ianacare. Accessed 2026.</w:t>
      </w:r>
    </w:p>
    <w:p>
      <w:pPr>
        <w:spacing w:after="60"/>
        <w:ind w:left="288" w:hanging="288"/>
        <w:jc w:val="left"/>
      </w:pPr>
      <w:r>
        <w:rPr>
          <w:b w:val="0"/>
          <w:i w:val="0"/>
          <w:sz w:val="18"/>
        </w:rPr>
        <w:t>20. Fan Q, et al. Olera platform development and caregiver needs assessment. 2023.</w:t>
      </w:r>
    </w:p>
    <w:p>
      <w:pPr>
        <w:spacing w:after="60"/>
        <w:ind w:left="288" w:hanging="288"/>
        <w:jc w:val="left"/>
      </w:pPr>
      <w:r>
        <w:rPr>
          <w:b w:val="0"/>
          <w:i w:val="0"/>
          <w:sz w:val="18"/>
        </w:rPr>
        <w:t>21. Fan Q, et al. Usability evaluation of the Olera caregiving platform: Mobile Application Rating Scale 4.57 of 5 (n = 30). JMIR. 2024.</w:t>
      </w:r>
    </w:p>
    <w:p>
      <w:pPr>
        <w:spacing w:after="60"/>
        <w:ind w:left="288" w:hanging="288"/>
        <w:jc w:val="left"/>
      </w:pPr>
      <w:r>
        <w:rPr>
          <w:b w:val="0"/>
          <w:i w:val="0"/>
          <w:sz w:val="18"/>
        </w:rPr>
        <w:t>22. DuBose L, et al. Digital caregiving assistance for older adults and their families. 2024.</w:t>
      </w:r>
    </w:p>
    <w:p>
      <w:pPr>
        <w:spacing w:after="60"/>
        <w:ind w:left="288" w:hanging="288"/>
        <w:jc w:val="left"/>
      </w:pPr>
      <w:r>
        <w:rPr>
          <w:b w:val="0"/>
          <w:i w:val="0"/>
          <w:sz w:val="18"/>
        </w:rPr>
        <w:t>23.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24. Yee A, Yaffe MJ, Schuster T, Lambert S, Abbasgholizadeh-Rahimi S. Family caregivers' acceptance of artificial intelligence-enabled technologies for providing care to older adults. BMC Geriatr. 2025;26:150.</w:t>
      </w:r>
    </w:p>
    <w:p>
      <w:pPr>
        <w:spacing w:after="60"/>
        <w:ind w:left="288" w:hanging="288"/>
        <w:jc w:val="left"/>
      </w:pPr>
      <w:r>
        <w:rPr>
          <w:b w:val="0"/>
          <w:i w:val="0"/>
          <w:sz w:val="18"/>
        </w:rPr>
        <w:t>25. National Center for Education Statistics. Undergraduate degree fields: health professions and related programs conferred 263,800 degrees, 2021-22.</w:t>
      </w:r>
    </w:p>
    <w:p>
      <w:pPr>
        <w:spacing w:after="60"/>
        <w:ind w:left="288" w:hanging="288"/>
        <w:jc w:val="left"/>
      </w:pPr>
      <w:r>
        <w:rPr>
          <w:b w:val="0"/>
          <w:i w:val="0"/>
          <w:sz w:val="18"/>
        </w:rPr>
        <w:t>26. Physician Assistant Education Association. By the Numbers: Student Report, 2024-25; documented direct patient-care hour requirements.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