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1. Statement of Need</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before="80"/>
              <w:jc w:val="center"/>
            </w:pPr>
            <w:r/>
            <w:r>
              <w:drawing>
                <wp:inline xmlns:a="http://schemas.openxmlformats.org/drawingml/2006/main" xmlns:pic="http://schemas.openxmlformats.org/drawingml/2006/picture">
                  <wp:extent cx="2743200" cy="23743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374392"/>
                          </a:xfrm>
                          <a:prstGeom prst="rect"/>
                        </pic:spPr>
                      </pic:pic>
                    </a:graphicData>
                  </a:graphic>
                </wp:inline>
              </w:drawing>
            </w:r>
          </w:p>
          <w:p>
            <w:pPr>
              <w:spacing w:after="0"/>
              <w:jc w:val="left"/>
            </w:pPr>
            <w:r>
              <w:rPr>
                <w:b/>
                <w:i w:val="0"/>
                <w:sz w:val="18"/>
              </w:rPr>
              <w:t>Figure 1.</w:t>
            </w:r>
            <w:r>
              <w:rPr>
                <w:b w:val="0"/>
                <w:i w:val="0"/>
                <w:sz w:val="18"/>
              </w:rPr>
              <w:t xml:space="preserve"> The vicious cycle of unmet need.</w:t>
            </w:r>
          </w:p>
        </w:tc>
      </w:tr>
    </w:tbl>
    <w:p>
      <w:pPr>
        <w:spacing w:before="160" w:after="60"/>
        <w:jc w:val="both"/>
      </w:pPr>
      <w:r>
        <w:rPr>
          <w:b/>
          <w:i w:val="0"/>
        </w:rPr>
        <w:t>The product and its impact.</w:t>
      </w:r>
      <w:r>
        <w:rPr>
          <w:b w:val="0"/>
          <w:i w:val="0"/>
        </w:rPr>
        <w:t xml:space="preserve"> The gap between older Americans who need help and the care available to them is growing. An aging population is increasing demand while families continue to face a fragmented system for finding providers, securing financial assistance, and establishing care. When care is not established, the consequences can compound into a vicious cycle of unmet need, hospitalization, failed care establishment, and premature institutionalization (Figure 1). Among community-dwelling Medicaid HCBS users, unmet service needs have been associated with substantially greater emergency-department use (52% vs. 34%) and hospital or rehabilitation stays (36% vs. 24%).</w:t>
      </w:r>
      <w:r>
        <w:rPr>
          <w:b w:val="0"/>
          <w:i w:val="0"/>
          <w:sz w:val="16"/>
          <w:position w:val="7"/>
        </w:rPr>
        <w:t>1</w:t>
      </w:r>
      <w:r>
        <w:rPr>
          <w:b w:val="0"/>
          <w:i w:val="0"/>
        </w:rPr>
        <w:t xml:space="preserve"> Olera developed CareNavigator through NIA Phase I–IIB to intervene earlier in this cycle by helping families identify appropriate care, find aid to pay for it, and connect with providers who can deliver it. Its central outcome is simple and measurable: does a recognized need reach established care?</w:t>
      </w:r>
    </w:p>
    <w:p>
      <w:pPr>
        <w:spacing w:before="160" w:after="60"/>
        <w:jc w:val="both"/>
      </w:pPr>
      <w:r>
        <w:rPr>
          <w:b w:val="0"/>
          <w:i w:val="0"/>
        </w:rPr>
        <w:t xml:space="preserve">The remaining opportunity is to carry navigation through the full pathway from recognized need to established care (Figure 2).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Task-based AI Agent Execution</w:t>
      </w:r>
      <w:r>
        <w:rPr>
          <w:b w:val="0"/>
          <w:i w:val="0"/>
        </w:rPr>
        <w:t xml:space="preserve"> to execute care-plan administrative tasks that cause families to get lost to follow up, together with an </w:t>
      </w:r>
      <w:r>
        <w:rPr>
          <w:b/>
          <w:i w:val="0"/>
        </w:rPr>
        <w:t>Analytic Outcomes Data</w:t>
      </w:r>
      <w:r>
        <w:rPr>
          <w:b w:val="0"/>
          <w:i w:val="0"/>
        </w:rPr>
        <w:t xml:space="preserve"> layer needed to confirm that care was established and measure what follows from that pathway.</w:t>
      </w:r>
    </w:p>
    <w:p>
      <w:pPr>
        <w:keepNext/>
        <w:spacing w:before="120" w:after="40"/>
        <w:jc w:val="center"/>
      </w:pPr>
      <w:r>
        <w:drawing>
          <wp:inline xmlns:a="http://schemas.openxmlformats.org/drawingml/2006/main" xmlns:pic="http://schemas.openxmlformats.org/drawingml/2006/picture">
            <wp:extent cx="6583680" cy="138507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583680" cy="1385074"/>
                    </a:xfrm>
                    <a:prstGeom prst="rect"/>
                  </pic:spPr>
                </pic:pic>
              </a:graphicData>
            </a:graphic>
          </wp:inline>
        </w:drawing>
      </w:r>
    </w:p>
    <w:p>
      <w:pPr>
        <w:spacing w:after="120"/>
        <w:jc w:val="left"/>
      </w:pPr>
      <w:r>
        <w:rPr>
          <w:b/>
          <w:i w:val="0"/>
          <w:sz w:val="18"/>
        </w:rPr>
        <w:t>Figure 2.</w:t>
      </w:r>
      <w:r>
        <w:rPr>
          <w:b w:val="0"/>
          <w:i w:val="0"/>
          <w:sz w:val="18"/>
        </w:rPr>
        <w:t xml:space="preserve"> Care establishment requires a coordinated pathway from assessing need through confirming care.</w:t>
      </w:r>
    </w:p>
    <w:p>
      <w:pPr>
        <w:spacing w:before="160" w:after="60"/>
        <w:jc w:val="both"/>
      </w:pPr>
      <w:r>
        <w:rPr>
          <w:b/>
          <w:i w:val="0"/>
        </w:rPr>
        <w:t>Olera's Valley of Death (Figure 3).</w:t>
      </w:r>
      <w:r>
        <w:rPr>
          <w:b w:val="0"/>
          <w:i w:val="0"/>
        </w:rPr>
        <w:t xml:space="preserve"> CareNavigator is deployed nationally, draws 15,500+ visitors per month through organic search at near-zero acquisition cost, and has demonstrated usability and technology acceptance in peer-reviewed studies.</w:t>
      </w:r>
      <w:r>
        <w:rPr>
          <w:b w:val="0"/>
          <w:i w:val="0"/>
          <w:sz w:val="16"/>
          <w:position w:val="7"/>
        </w:rPr>
        <w:t>2,3</w:t>
      </w:r>
      <w:r>
        <w:rPr>
          <w:b w:val="0"/>
          <w:i w:val="0"/>
        </w:rPr>
        <w:t xml:space="preserve"> Caregiver Staffing has also been tested in prior pilots, where providers hired workers sourced through Olera and demonstrated willingness to pay for the service.</w:t>
      </w:r>
      <w:r>
        <w:rPr>
          <w:b w:val="0"/>
          <w:i w:val="0"/>
          <w:sz w:val="16"/>
          <w:position w:val="7"/>
        </w:rPr>
        <w:t>4</w:t>
      </w:r>
      <w:r>
        <w:rPr>
          <w:b w:val="0"/>
          <w:i w:val="0"/>
        </w:rPr>
        <w:t xml:space="preserve"> Family demand, CareNavigator usability, and basic provider demand for Caregiver Staffing are therefore substantially de-risked. Five remaining risks must now be retired in sequence:</w:t>
      </w:r>
    </w:p>
    <w:p>
      <w:pPr>
        <w:spacing w:after="60"/>
        <w:ind w:left="490" w:hanging="490"/>
        <w:jc w:val="both"/>
      </w:pPr>
      <w:r>
        <w:rPr>
          <w:b/>
          <w:color w:val="14453F"/>
        </w:rPr>
        <w:t xml:space="preserve">1. </w:t>
      </w:r>
      <w:r>
        <w:rPr>
          <w:b/>
          <w:color w:val="14453F"/>
        </w:rPr>
        <w:t xml:space="preserve">Technical risk. </w:t>
      </w:r>
      <w:r>
        <w:rPr>
          <w:b w:val="0"/>
          <w:i w:val="0"/>
        </w:rPr>
        <w:t>Can CareNavigator execute and track care establishment?</w:t>
      </w:r>
    </w:p>
    <w:p>
      <w:pPr>
        <w:spacing w:after="60"/>
        <w:ind w:left="490" w:hanging="490"/>
        <w:jc w:val="both"/>
      </w:pPr>
      <w:r>
        <w:rPr>
          <w:b/>
          <w:color w:val="14453F"/>
        </w:rPr>
        <w:t xml:space="preserve">2. </w:t>
      </w:r>
      <w:r>
        <w:rPr>
          <w:b/>
          <w:color w:val="14453F"/>
        </w:rPr>
        <w:t xml:space="preserve">Real-world validation risk. </w:t>
      </w:r>
      <w:r>
        <w:rPr>
          <w:b w:val="0"/>
          <w:i w:val="0"/>
        </w:rPr>
        <w:t>Does the complete pathway work in practice?</w:t>
      </w:r>
    </w:p>
    <w:p>
      <w:pPr>
        <w:spacing w:after="60"/>
        <w:ind w:left="490" w:hanging="490"/>
        <w:jc w:val="both"/>
      </w:pPr>
      <w:r>
        <w:rPr>
          <w:b/>
          <w:color w:val="14453F"/>
        </w:rPr>
        <w:t xml:space="preserve">3. </w:t>
      </w:r>
      <w:r>
        <w:rPr>
          <w:b/>
          <w:color w:val="14453F"/>
        </w:rPr>
        <w:t xml:space="preserve">Evidence risk. </w:t>
      </w:r>
      <w:r>
        <w:rPr>
          <w:b w:val="0"/>
          <w:i w:val="0"/>
        </w:rPr>
        <w:t>Does establishing care produce outcomes and economic value institutional buyers care about?</w:t>
      </w:r>
    </w:p>
    <w:p>
      <w:pPr>
        <w:spacing w:after="60"/>
        <w:ind w:left="490" w:hanging="490"/>
        <w:jc w:val="both"/>
      </w:pPr>
      <w:r>
        <w:rPr>
          <w:b/>
          <w:color w:val="14453F"/>
        </w:rPr>
        <w:t xml:space="preserve">4. </w:t>
      </w:r>
      <w:r>
        <w:rPr>
          <w:b/>
          <w:color w:val="14453F"/>
        </w:rPr>
        <w:t xml:space="preserve">Commercial risk. </w:t>
      </w:r>
      <w:r>
        <w:rPr>
          <w:b w:val="0"/>
          <w:i w:val="0"/>
        </w:rPr>
        <w:t>Can the value created support durable revenue?</w:t>
      </w:r>
    </w:p>
    <w:p>
      <w:pPr>
        <w:spacing w:after="60"/>
        <w:ind w:left="490" w:hanging="490"/>
        <w:jc w:val="both"/>
      </w:pPr>
      <w:r>
        <w:rPr>
          <w:b/>
          <w:color w:val="14453F"/>
        </w:rPr>
        <w:t xml:space="preserve">5. </w:t>
      </w:r>
      <w:r>
        <w:rPr>
          <w:b/>
          <w:color w:val="14453F"/>
        </w:rPr>
        <w:t xml:space="preserve">Financing risk. </w:t>
      </w:r>
      <w:r>
        <w:rPr>
          <w:b w:val="0"/>
          <w:i w:val="0"/>
        </w:rPr>
        <w:t>Is Olera investable when CRP ends?</w:t>
      </w:r>
    </w:p>
    <w:p>
      <w:pPr>
        <w:keepNext/>
        <w:spacing w:before="120" w:after="40"/>
        <w:jc w:val="center"/>
      </w:pPr>
      <w:r>
        <w:drawing>
          <wp:inline xmlns:a="http://schemas.openxmlformats.org/drawingml/2006/main" xmlns:pic="http://schemas.openxmlformats.org/drawingml/2006/picture">
            <wp:extent cx="6583680" cy="249252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583680" cy="2492524"/>
                    </a:xfrm>
                    <a:prstGeom prst="rect"/>
                  </pic:spPr>
                </pic:pic>
              </a:graphicData>
            </a:graphic>
          </wp:inline>
        </w:drawing>
      </w:r>
    </w:p>
    <w:p>
      <w:pPr>
        <w:spacing w:after="120"/>
        <w:jc w:val="left"/>
      </w:pPr>
      <w:r>
        <w:rPr>
          <w:b/>
          <w:i w:val="0"/>
          <w:sz w:val="18"/>
        </w:rPr>
        <w:t>Figure 3.</w:t>
      </w:r>
      <w:r>
        <w:rPr>
          <w:b w:val="0"/>
          <w:i w:val="0"/>
          <w:sz w:val="18"/>
        </w:rPr>
        <w:t xml:space="preserve"> CRP bridges the five remaining risks between demonstrated demand and commercial sustainability.</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Non-dilutive CRP funding can break this cycle by financing the work needed to retire these risks.</w:t>
      </w:r>
    </w:p>
    <w:p>
      <w:pPr>
        <w:spacing w:before="160" w:after="60"/>
        <w:jc w:val="both"/>
      </w:pPr>
      <w:r>
        <w:rPr>
          <w:b w:val="0"/>
          <w:i w:val="0"/>
        </w:rPr>
        <w:t>The alternative is not simply to raise prices or sell the same product differently.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w:t>
      </w:r>
    </w:p>
    <w:p>
      <w:pPr>
        <w:spacing w:before="160" w:after="60"/>
        <w:jc w:val="both"/>
      </w:pPr>
      <w:r>
        <w:rPr>
          <w:b/>
          <w:i w:val="0"/>
        </w:rPr>
        <w:t>How CRP funding advances Olera to full commercialization.</w:t>
      </w:r>
      <w:r>
        <w:rPr>
          <w:b w:val="0"/>
          <w:i w:val="0"/>
        </w:rPr>
        <w:t xml:space="preserve"> Three sequential aims remove these remaining barriers. Aim 1 develops and independently verifies the execution and outcomes technology required to carry families from a care and funding plan through to established care. Aim 2 validates the complete system in a smaller real-world deployment, measuring whether families identify, fund, and establish appropriate care; where cases fail; and whether Caregiver Staffing can relieve workforce constraints when they prevent care establishment. Aim 3 scales deployment and builds the institutional-buyer evidence case. Caregiver Staffing is evaluated in parallel as a repeatable provider-revenue pathway.</w:t>
      </w:r>
    </w:p>
    <w:p>
      <w:pPr>
        <w:keepNext/>
        <w:spacing w:before="220" w:after="80"/>
        <w:jc w:val="left"/>
        <w:pBdr>
          <w:bottom w:val="single" w:sz="12" w:space="2" w:color="000000"/>
        </w:pBdr>
      </w:pPr>
      <w:r>
        <w:rPr>
          <w:b/>
        </w:rPr>
        <w:t>2. Value of the CRP Project, Expected Outcomes, and Impact</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w:t>
      </w:r>
    </w:p>
    <w:p>
      <w:pPr>
        <w:keepNext/>
        <w:spacing w:before="120" w:after="40"/>
        <w:jc w:val="center"/>
      </w:pPr>
      <w:r>
        <w:drawing>
          <wp:inline xmlns:a="http://schemas.openxmlformats.org/drawingml/2006/main" xmlns:pic="http://schemas.openxmlformats.org/drawingml/2006/picture">
            <wp:extent cx="6583680" cy="461589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583680" cy="461589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Table 1 organizes current approaches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Pathway step</w:t>
            </w:r>
          </w:p>
        </w:tc>
        <w:tc>
          <w:tcPr>
            <w:tcW w:type="dxa" w:w="3600"/>
            <w:tcBorders>
              <w:bottom w:val="single" w:sz="8" w:space="0" w:color="14453F"/>
            </w:tcBorders>
          </w:tcPr>
          <w:p>
            <w:pPr>
              <w:spacing w:before="30" w:after="30"/>
              <w:jc w:val="left"/>
            </w:pPr>
            <w:r/>
            <w:r>
              <w:rPr>
                <w:b/>
                <w:i w:val="0"/>
                <w:color w:val="14453F"/>
                <w:sz w:val="18"/>
              </w:rPr>
              <w:t>Where families still fall off</w:t>
            </w:r>
          </w:p>
        </w:tc>
        <w:tc>
          <w:tcPr>
            <w:tcW w:type="dxa" w:w="3600"/>
            <w:tcBorders>
              <w:bottom w:val="single" w:sz="8" w:space="0" w:color="14453F"/>
            </w:tcBorders>
          </w:tcPr>
          <w:p>
            <w:pPr>
              <w:spacing w:before="30" w:after="30"/>
              <w:jc w:val="left"/>
            </w:pPr>
            <w:r/>
            <w:r>
              <w:rPr>
                <w:b/>
                <w:i w:val="0"/>
                <w:color w:val="14453F"/>
                <w:sz w:val="18"/>
              </w:rPr>
              <w:t>Olera's CRP approach</w:t>
            </w:r>
          </w:p>
        </w:tc>
      </w:tr>
      <w:tr>
        <w:tc>
          <w:tcPr>
            <w:tcW w:type="dxa" w:w="3600"/>
            <w:tcBorders>
              <w:bottom w:val="single" w:sz="2" w:space="0" w:color="B9C4BD"/>
            </w:tcBorders>
          </w:tcPr>
          <w:p>
            <w:pPr>
              <w:spacing w:before="30" w:after="30"/>
              <w:jc w:val="left"/>
            </w:pPr>
            <w:r/>
            <w:r>
              <w:rPr>
                <w:b/>
                <w:i w:val="0"/>
                <w:color w:val="14453F"/>
                <w:sz w:val="18"/>
              </w:rPr>
              <w:t>Assess Needs</w:t>
            </w:r>
          </w:p>
        </w:tc>
        <w:tc>
          <w:tcPr>
            <w:tcW w:type="dxa" w:w="36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600"/>
            <w:tcBorders>
              <w:bottom w:val="single" w:sz="2" w:space="0" w:color="B9C4BD"/>
            </w:tcBorders>
          </w:tcPr>
          <w:p>
            <w:pPr>
              <w:spacing w:before="30" w:after="30"/>
              <w:jc w:val="left"/>
            </w:pPr>
            <w:r/>
            <w:r>
              <w:rPr>
                <w:b w:val="0"/>
                <w:i w:val="0"/>
                <w:sz w:val="18"/>
              </w:rPr>
              <w:t>Persistent case begins with structured needs assessment</w:t>
            </w:r>
          </w:p>
        </w:tc>
      </w:tr>
      <w:tr>
        <w:tc>
          <w:tcPr>
            <w:tcW w:type="dxa" w:w="3600"/>
            <w:tcBorders>
              <w:bottom w:val="single" w:sz="2" w:space="0" w:color="B9C4BD"/>
            </w:tcBorders>
          </w:tcPr>
          <w:p>
            <w:pPr>
              <w:spacing w:before="30" w:after="30"/>
              <w:jc w:val="left"/>
            </w:pPr>
            <w:r/>
            <w:r>
              <w:rPr>
                <w:b/>
                <w:i w:val="0"/>
                <w:color w:val="14453F"/>
                <w:sz w:val="18"/>
              </w:rPr>
              <w:t>Identify Care</w:t>
            </w:r>
          </w:p>
        </w:tc>
        <w:tc>
          <w:tcPr>
            <w:tcW w:type="dxa" w:w="3600"/>
            <w:tcBorders>
              <w:bottom w:val="single" w:sz="2" w:space="0" w:color="B9C4BD"/>
            </w:tcBorders>
          </w:tcPr>
          <w:p>
            <w:pPr>
              <w:spacing w:before="30" w:after="30"/>
              <w:jc w:val="left"/>
            </w:pPr>
            <w:r/>
            <w:r>
              <w:rPr>
                <w:b w:val="0"/>
                <w:i w:val="0"/>
                <w:sz w:val="18"/>
              </w:rPr>
              <w:t>Fragmented inventories and handoffs leave families to reconcile options</w:t>
            </w:r>
          </w:p>
        </w:tc>
        <w:tc>
          <w:tcPr>
            <w:tcW w:type="dxa" w:w="3600"/>
            <w:tcBorders>
              <w:bottom w:val="single" w:sz="2" w:space="0" w:color="B9C4BD"/>
            </w:tcBorders>
          </w:tcPr>
          <w:p>
            <w:pPr>
              <w:spacing w:before="30" w:after="30"/>
              <w:jc w:val="left"/>
            </w:pPr>
            <w:r/>
            <w:r>
              <w:rPr>
                <w:b w:val="0"/>
                <w:i w:val="0"/>
                <w:sz w:val="18"/>
              </w:rPr>
              <w:t>Curated national resource infrastructure identifies services and providers</w:t>
            </w:r>
          </w:p>
        </w:tc>
      </w:tr>
      <w:tr>
        <w:tc>
          <w:tcPr>
            <w:tcW w:type="dxa" w:w="3600"/>
            <w:tcBorders>
              <w:bottom w:val="single" w:sz="2" w:space="0" w:color="B9C4BD"/>
            </w:tcBorders>
          </w:tcPr>
          <w:p>
            <w:pPr>
              <w:spacing w:before="30" w:after="30"/>
              <w:jc w:val="left"/>
            </w:pPr>
            <w:r/>
            <w:r>
              <w:rPr>
                <w:b/>
                <w:i w:val="0"/>
                <w:color w:val="14453F"/>
                <w:sz w:val="18"/>
              </w:rPr>
              <w:t>Fund Care</w:t>
            </w:r>
          </w:p>
        </w:tc>
        <w:tc>
          <w:tcPr>
            <w:tcW w:type="dxa" w:w="3600"/>
            <w:tcBorders>
              <w:bottom w:val="single" w:sz="2" w:space="0" w:color="B9C4BD"/>
            </w:tcBorders>
          </w:tcPr>
          <w:p>
            <w:pPr>
              <w:spacing w:before="30" w:after="30"/>
              <w:jc w:val="left"/>
            </w:pPr>
            <w:r/>
            <w:r>
              <w:rPr>
                <w:b w:val="0"/>
                <w:i w:val="0"/>
                <w:sz w:val="18"/>
              </w:rPr>
              <w:t>Eligibility information does not ensure applications, documentation, or approval</w:t>
            </w:r>
          </w:p>
        </w:tc>
        <w:tc>
          <w:tcPr>
            <w:tcW w:type="dxa" w:w="36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3600"/>
            <w:tcBorders>
              <w:bottom w:val="single" w:sz="2" w:space="0" w:color="B9C4BD"/>
            </w:tcBorders>
          </w:tcPr>
          <w:p>
            <w:pPr>
              <w:spacing w:before="30" w:after="30"/>
              <w:jc w:val="left"/>
            </w:pPr>
            <w:r/>
            <w:r>
              <w:rPr>
                <w:b/>
                <w:i w:val="0"/>
                <w:color w:val="14453F"/>
                <w:sz w:val="18"/>
              </w:rPr>
              <w:t>Staff Care</w:t>
            </w:r>
          </w:p>
        </w:tc>
        <w:tc>
          <w:tcPr>
            <w:tcW w:type="dxa" w:w="3600"/>
            <w:tcBorders>
              <w:bottom w:val="single" w:sz="2" w:space="0" w:color="B9C4BD"/>
            </w:tcBorders>
          </w:tcPr>
          <w:p>
            <w:pPr>
              <w:spacing w:before="30" w:after="30"/>
              <w:jc w:val="left"/>
            </w:pPr>
            <w:r/>
            <w:r>
              <w:rPr>
                <w:b w:val="0"/>
                <w:i w:val="0"/>
                <w:sz w:val="18"/>
              </w:rPr>
              <w:t>Providers may have an opening but lack workers to serve the family</w:t>
            </w:r>
          </w:p>
        </w:tc>
        <w:tc>
          <w:tcPr>
            <w:tcW w:type="dxa" w:w="3600"/>
            <w:tcBorders>
              <w:bottom w:val="single" w:sz="2" w:space="0" w:color="B9C4BD"/>
            </w:tcBorders>
          </w:tcPr>
          <w:p>
            <w:pPr>
              <w:spacing w:before="30" w:after="30"/>
              <w:jc w:val="left"/>
            </w:pPr>
            <w:r/>
            <w:r>
              <w:rPr>
                <w:b w:val="0"/>
                <w:i w:val="0"/>
                <w:sz w:val="18"/>
              </w:rPr>
              <w:t>Caregiver Staffing adds a workforce channel when capacity blocks care</w:t>
            </w:r>
          </w:p>
        </w:tc>
      </w:tr>
      <w:tr>
        <w:tc>
          <w:tcPr>
            <w:tcW w:type="dxa" w:w="3600"/>
            <w:tcBorders>
              <w:bottom w:val="single" w:sz="2" w:space="0" w:color="B9C4BD"/>
            </w:tcBorders>
          </w:tcPr>
          <w:p>
            <w:pPr>
              <w:spacing w:before="30" w:after="30"/>
              <w:jc w:val="left"/>
            </w:pPr>
            <w:r/>
            <w:r>
              <w:rPr>
                <w:b/>
                <w:i w:val="0"/>
                <w:color w:val="14453F"/>
                <w:sz w:val="18"/>
              </w:rPr>
              <w:t>Execute Plan</w:t>
            </w:r>
          </w:p>
        </w:tc>
        <w:tc>
          <w:tcPr>
            <w:tcW w:type="dxa" w:w="36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600"/>
            <w:tcBorders>
              <w:bottom w:val="single" w:sz="2" w:space="0" w:color="B9C4BD"/>
            </w:tcBorders>
          </w:tcPr>
          <w:p>
            <w:pPr>
              <w:spacing w:before="30" w:after="30"/>
              <w:jc w:val="left"/>
            </w:pPr>
            <w:r/>
            <w:r>
              <w:rPr>
                <w:b w:val="0"/>
                <w:i w:val="0"/>
                <w:sz w:val="18"/>
              </w:rPr>
              <w:t>AI-supported workflows execute applications, documents, follow-up, and intake</w:t>
            </w:r>
          </w:p>
        </w:tc>
      </w:tr>
      <w:tr>
        <w:tc>
          <w:tcPr>
            <w:tcW w:type="dxa" w:w="3600"/>
            <w:tcBorders>
              <w:bottom w:val="single" w:sz="2" w:space="0" w:color="B9C4BD"/>
            </w:tcBorders>
          </w:tcPr>
          <w:p>
            <w:pPr>
              <w:spacing w:before="30" w:after="30"/>
              <w:jc w:val="left"/>
            </w:pPr>
            <w:r/>
            <w:r>
              <w:rPr>
                <w:b/>
                <w:i w:val="0"/>
                <w:color w:val="14453F"/>
                <w:sz w:val="18"/>
              </w:rPr>
              <w:t>Establish Care</w:t>
            </w:r>
          </w:p>
        </w:tc>
        <w:tc>
          <w:tcPr>
            <w:tcW w:type="dxa" w:w="3600"/>
            <w:tcBorders>
              <w:bottom w:val="single" w:sz="2" w:space="0" w:color="B9C4BD"/>
            </w:tcBorders>
          </w:tcPr>
          <w:p>
            <w:pPr>
              <w:spacing w:before="30" w:after="30"/>
              <w:jc w:val="left"/>
            </w:pPr>
            <w:r/>
            <w:r>
              <w:rPr>
                <w:b w:val="0"/>
                <w:i w:val="0"/>
                <w:sz w:val="18"/>
              </w:rPr>
              <w:t>Referral or eligibility is treated as success even when service never starts</w:t>
            </w:r>
          </w:p>
        </w:tc>
        <w:tc>
          <w:tcPr>
            <w:tcW w:type="dxa" w:w="36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3600"/>
            <w:tcBorders>
              <w:bottom w:val="single" w:sz="8" w:space="0" w:color="14453F"/>
            </w:tcBorders>
          </w:tcPr>
          <w:p>
            <w:pPr>
              <w:spacing w:before="30" w:after="30"/>
              <w:jc w:val="left"/>
            </w:pPr>
            <w:r/>
            <w:r>
              <w:rPr>
                <w:b/>
                <w:i w:val="0"/>
                <w:color w:val="14453F"/>
                <w:sz w:val="18"/>
              </w:rPr>
              <w:t>Track Outcomes</w:t>
            </w:r>
          </w:p>
        </w:tc>
        <w:tc>
          <w:tcPr>
            <w:tcW w:type="dxa" w:w="3600"/>
            <w:tcBorders>
              <w:bottom w:val="single" w:sz="8" w:space="0" w:color="14453F"/>
            </w:tcBorders>
          </w:tcPr>
          <w:p>
            <w:pPr>
              <w:spacing w:before="30" w:after="30"/>
              <w:jc w:val="left"/>
            </w:pPr>
            <w:r/>
            <w:r>
              <w:rPr>
                <w:b w:val="0"/>
                <w:i w:val="0"/>
                <w:sz w:val="18"/>
              </w:rPr>
              <w:t>No longitudinal record connects need, pathway failure, and subsequent outcomes</w:t>
            </w:r>
          </w:p>
        </w:tc>
        <w:tc>
          <w:tcPr>
            <w:tcW w:type="dxa" w:w="3600"/>
            <w:tcBorders>
              <w:bottom w:val="single" w:sz="8" w:space="0" w:color="14453F"/>
            </w:tcBorders>
          </w:tcPr>
          <w:p>
            <w:pPr>
              <w:spacing w:before="30" w:after="30"/>
              <w:jc w:val="left"/>
            </w:pPr>
            <w:r/>
            <w:r>
              <w:rPr>
                <w:b w:val="0"/>
                <w:i w:val="0"/>
                <w:sz w:val="18"/>
              </w:rPr>
              <w:t>Case-level outcomes infrastructure supports institutional evidence generation</w:t>
            </w:r>
          </w:p>
        </w:tc>
      </w:tr>
    </w:tbl>
    <w:p>
      <w:pPr>
        <w:spacing w:before="40" w:after="120"/>
        <w:jc w:val="left"/>
      </w:pPr>
      <w:r>
        <w:rPr>
          <w:b/>
          <w:i w:val="0"/>
          <w:sz w:val="18"/>
        </w:rPr>
        <w:t>Table 1.</w:t>
      </w:r>
      <w:r>
        <w:rPr>
          <w:b w:val="0"/>
          <w:i w:val="0"/>
          <w:sz w:val="18"/>
        </w:rPr>
        <w:t xml:space="preserve"> Current approaches address portions of the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AI-supported execution moves the product from recommending what a family should do toward completing and tracking the work required to establish care, and every executed case produces a structured longitudinal record of the pathway.</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and (4)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w:t>
            </w:r>
          </w:p>
        </w:tc>
        <w:tc>
          <w:tcPr>
            <w:tcW w:type="dxa" w:w="3600"/>
            <w:tcBorders>
              <w:bottom w:val="single" w:sz="8" w:space="0" w:color="14453F"/>
            </w:tcBorders>
          </w:tcPr>
          <w:p>
            <w:pPr>
              <w:spacing w:before="30" w:after="30"/>
              <w:jc w:val="left"/>
            </w:pPr>
            <w:r/>
            <w:r>
              <w:rPr>
                <w:b w:val="0"/>
                <w:i w:val="0"/>
                <w:sz w:val="18"/>
              </w:rPr>
              <w:t>Healthy aging, integrated care, long-term care access, implementation research</w:t>
            </w:r>
          </w:p>
        </w:tc>
      </w:tr>
    </w:tbl>
    <w:p>
      <w:pPr>
        <w:spacing w:before="40" w:after="120"/>
        <w:jc w:val="left"/>
      </w:pPr>
      <w:r>
        <w:rPr>
          <w:b/>
          <w:i w:val="0"/>
          <w:sz w:val="18"/>
        </w:rPr>
        <w:t>Table 2.</w:t>
      </w:r>
      <w:r>
        <w:rPr>
          <w:b w:val="0"/>
          <w:i w:val="0"/>
          <w:sz w:val="18"/>
        </w:rPr>
        <w:t xml:space="preserve"> Commercial growth produces measurable societal, educational, and scientific value.</w:t>
      </w:r>
    </w:p>
    <w:p>
      <w:pPr>
        <w:keepNext/>
        <w:spacing w:before="220" w:after="80"/>
        <w:jc w:val="left"/>
        <w:pBdr>
          <w:bottom w:val="single" w:sz="12" w:space="2" w:color="000000"/>
        </w:pBdr>
      </w:pPr>
      <w:r>
        <w:rPr>
          <w:b/>
        </w:rPr>
        <w:t>3. Company</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PI Tokunbo (TJ) Falohun began working with Logan DuBose, MD, MBA, now Olera's Chief Research Officer and co-investigator, through the Texas A&amp;M chapter of Sling Health in 2019.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Team</w:t>
            </w:r>
          </w:p>
        </w:tc>
        <w:tc>
          <w:tcPr>
            <w:tcW w:type="dxa" w:w="5400"/>
            <w:tcBorders>
              <w:bottom w:val="single" w:sz="2" w:space="0" w:color="B9C4BD"/>
            </w:tcBorders>
          </w:tcPr>
          <w:p>
            <w:pPr>
              <w:spacing w:before="30" w:after="30"/>
              <w:jc w:val="left"/>
            </w:pPr>
            <w:r/>
            <w:r>
              <w:rPr>
                <w:b w:val="0"/>
                <w:i w:val="0"/>
                <w:sz w:val="18"/>
              </w:rPr>
              <w:t>Founder-led product and engineering · full-time engineer (~2 years) · two full-time family/provider call-center personnel (&gt;3 years) · part-time marketing (~1.5 years) · two part-time research assistants (~5 and ~1.5 years)</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8" w:space="0" w:color="14453F"/>
            </w:tcBorders>
          </w:tcPr>
          <w:p>
            <w:pPr>
              <w:spacing w:before="30" w:after="30"/>
              <w:jc w:val="left"/>
            </w:pPr>
            <w:r/>
            <w:r>
              <w:rPr>
                <w:b/>
                <w:i w:val="0"/>
                <w:color w:val="14453F"/>
                <w:sz w:val="18"/>
              </w:rPr>
              <w:t>Finance, compliance, regulatory</w:t>
            </w:r>
          </w:p>
        </w:tc>
        <w:tc>
          <w:tcPr>
            <w:tcW w:type="dxa" w:w="5400"/>
            <w:tcBorders>
              <w:bottom w:val="single" w:sz="8" w:space="0" w:color="14453F"/>
            </w:tcBorders>
          </w:tcPr>
          <w:p>
            <w:pPr>
              <w:spacing w:before="30" w:after="30"/>
              <w:jc w:val="left"/>
            </w:pPr>
            <w:r/>
            <w:r>
              <w:rPr>
                <w:b w:val="0"/>
                <w:i w:val="0"/>
                <w:sz w:val="18"/>
              </w:rPr>
              <w:t>Founder-led finance and federal administration supported by ADC accounting/CPA and specialized legal/compliance counsel · HIPAA-aligned data practices · federal research, IRB, and data stewardship experience · referral-compliance review</w:t>
            </w:r>
          </w:p>
        </w:tc>
      </w:tr>
    </w:tbl>
    <w:p>
      <w:pPr>
        <w:spacing w:before="40" w:after="120"/>
        <w:jc w:val="left"/>
      </w:pPr>
      <w:r>
        <w:rPr>
          <w:b/>
          <w:i w:val="0"/>
          <w:sz w:val="18"/>
        </w:rPr>
        <w:t>Table 3.</w:t>
      </w:r>
      <w:r>
        <w:rPr>
          <w:b w:val="0"/>
          <w:i w:val="0"/>
          <w:sz w:val="18"/>
        </w:rPr>
        <w:t xml:space="preserve"> Olera at a glance.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Four peer-reviewed studies established usability and technology acceptance, and direct family/provider operations continue to expose the team to the practical barriers between a recommendation and established care.</w:t>
      </w:r>
    </w:p>
    <w:p>
      <w:pPr>
        <w:spacing w:before="160" w:after="60"/>
        <w:jc w:val="both"/>
      </w:pPr>
      <w:r>
        <w:rPr>
          <w:b/>
          <w:i w:val="0"/>
        </w:rPr>
        <w:t>Olera's progression from R&amp;D to commercial scale.</w:t>
      </w:r>
      <w:r>
        <w:rPr>
          <w:b w:val="0"/>
          <w:i w:val="0"/>
        </w:rPr>
        <w:t xml:space="preserve">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4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Provider willingness to pay also depends on concentrating families and providers in the same local markets, which research funding was not scoped to do.</w:t>
            </w:r>
          </w:p>
        </w:tc>
      </w:tr>
    </w:tbl>
    <w:p>
      <w:pPr>
        <w:spacing w:before="40" w:after="120"/>
        <w:jc w:val="left"/>
      </w:pPr>
      <w:r>
        <w:rPr>
          <w:b/>
          <w:i w:val="0"/>
          <w:sz w:val="18"/>
        </w:rPr>
        <w:t>Table 4.</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2025, with roughly 760,500 openings projected each year from 2025 to 2035; home-care benchmarking separately reported 75% median professional-caregiver turnover in 2024.</w:t>
      </w:r>
      <w:r>
        <w:rPr>
          <w:b w:val="0"/>
          <w:i w:val="0"/>
          <w:sz w:val="16"/>
          <w:position w:val="7"/>
        </w:rPr>
        <w:t>5,6</w:t>
      </w:r>
      <w:r>
        <w:rPr>
          <w:b w:val="0"/>
          <w:i w:val="0"/>
        </w:rPr>
        <w:t xml:space="preserve"> The problem directly constrains growth: 63.3% of surveyed home-care providers reported turning down cases because of staffing shortages in 2023.</w:t>
      </w:r>
      <w:r>
        <w:rPr>
          <w:b w:val="0"/>
          <w:i w:val="0"/>
          <w:sz w:val="16"/>
          <w:position w:val="7"/>
        </w:rPr>
        <w:t>7</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sz w:val="16"/>
          <w:position w:val="7"/>
        </w:rPr>
        <w:t>8,9</w:t>
      </w:r>
      <w:r>
        <w:rPr>
          <w:b w:val="0"/>
          <w:i w:val="0"/>
        </w:rPr>
        <w:t xml:space="preserve"> CMS's active GUIDE Model further validates the purchasing logic: Medicare is already testing and paying for dementia care navigation, community-resource connection, and caregiver support, with the explicit aim of delaying nursing-home placement.</w:t>
      </w:r>
      <w:r>
        <w:rPr>
          <w:b w:val="0"/>
          <w:i w:val="0"/>
          <w:sz w:val="16"/>
          <w:position w:val="7"/>
        </w:rPr>
        <w:t>10</w:t>
      </w:r>
    </w:p>
    <w:p>
      <w:pPr>
        <w:spacing w:before="160" w:after="60"/>
        <w:jc w:val="both"/>
      </w:pPr>
      <w:r>
        <w:rPr>
          <w:b/>
          <w:i w:val="0"/>
        </w:rPr>
        <w:t>Market opportunity and path to meaningful scale.</w:t>
      </w:r>
      <w:r>
        <w:rPr>
          <w:b w:val="0"/>
          <w:i w:val="0"/>
        </w:rPr>
        <w:t xml:space="preserve">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within which family demand, provider supply, workforce capacity, care-establishment outcomes, acquisition costs, and revenue performance are all measured. With more than 3,100 such geographic units nationally, Olera can expand by replicating a validated local-market model without requiring dominant national market share.</w:t>
      </w:r>
    </w:p>
    <w:p>
      <w:pPr>
        <w:spacing w:before="160" w:after="60"/>
        <w:jc w:val="both"/>
      </w:pPr>
      <w:r>
        <w:rPr>
          <w:b/>
          <w:i w:val="0"/>
        </w:rPr>
        <w:t>Significant advantages and competitive position.</w:t>
      </w:r>
      <w:r>
        <w:rPr>
          <w:b w:val="0"/>
          <w:i w:val="0"/>
        </w:rPr>
        <w:t xml:space="preserve">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1. End-to-end execution.</w:t>
            </w:r>
            <w:r>
              <w:rPr>
                <w:b w:val="0"/>
                <w:i w:val="0"/>
                <w:sz w:val="18"/>
              </w:rPr>
              <w:t xml:space="preserve"> 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i w:val="0"/>
                <w:color w:val="14453F"/>
                <w:sz w:val="18"/>
              </w:rPr>
              <w:t>2. New workforce supply and demand intelligence.</w:t>
            </w:r>
            <w:r>
              <w:rPr>
                <w:b w:val="0"/>
                <w:i w:val="0"/>
                <w:sz w:val="18"/>
              </w:rPr>
              <w:t xml:space="preserve"> Caregiver Staffing creates an easier pathway into direct care rather than merely redistributing workers already circulating among providers; CareNavigator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3. Distribution and local data.</w:t>
            </w:r>
            <w:r>
              <w:rPr>
                <w:b w:val="0"/>
                <w:i w:val="0"/>
                <w:sz w:val="18"/>
              </w:rPr>
              <w:t xml:space="preserve"> 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4. AI interoperability.</w:t>
            </w:r>
            <w:r>
              <w:rPr>
                <w:b w:val="0"/>
                <w:i w:val="0"/>
                <w:sz w:val="18"/>
              </w:rPr>
              <w:t xml:space="preserve"> 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sz w:val="16"/>
          <w:position w:val="7"/>
        </w:rPr>
        <w:t>11,12</w:t>
      </w:r>
      <w:r>
        <w:rPr>
          <w:b w:val="0"/>
          <w:i w:val="0"/>
        </w:rPr>
        <w:t xml:space="preserve"> These two pipelines are not the full addressable workforce.</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sz w:val="16"/>
          <w:position w:val="7"/>
        </w:rPr>
        <w:t>13</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Olera's response is to compete where domain-specific infrastructure matters most: verified local provider and benefits data, execution of real administrative workflows, workforce-capacity creation, confirmation of care establishment, and longitudinal outcome records.</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5.</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detailed acquisition channels, sales process, production infrastructure, and post-CRP scaling plan are presented in the Production and Marketing Plan (Section 7).</w:t>
      </w:r>
    </w:p>
    <w:p>
      <w:pPr>
        <w:keepNext/>
        <w:spacing w:before="220" w:after="80"/>
        <w:jc w:val="left"/>
        <w:pBdr>
          <w:bottom w:val="single" w:sz="12" w:space="2" w:color="000000"/>
        </w:pBdr>
      </w:pPr>
      <w:r>
        <w:rPr>
          <w:b/>
        </w:rPr>
        <w:t>5. Intellectual Property Protection</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these as trade secrets through role-based technical access, confidentiality obligations, and employee, contractor, and partner agreements governing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w:t>
      </w:r>
    </w:p>
    <w:p>
      <w:pPr>
        <w:keepNext/>
        <w:spacing w:before="220" w:after="80"/>
        <w:jc w:val="left"/>
        <w:pBdr>
          <w:bottom w:val="single" w:sz="12" w:space="2" w:color="000000"/>
        </w:pBdr>
      </w:pPr>
      <w:r>
        <w:rPr>
          <w:b/>
        </w:rPr>
        <w:t>6. Finance Plan</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The award is designed to move Olera from pre-scale commercialization to an investable commercial inflection point, not to assume that revenue from the limited CRP markets immediately replaces the full federal operating budget.</w:t>
      </w:r>
    </w:p>
    <w:p>
      <w:pPr>
        <w:spacing w:before="160" w:after="60"/>
        <w:jc w:val="both"/>
      </w:pPr>
      <w:r>
        <w:rPr>
          <w:b/>
          <w:i w:val="0"/>
        </w:rPr>
        <w:t>From CRP capital to commercial sustainability.</w:t>
      </w:r>
      <w:r>
        <w:rPr>
          <w:b w:val="0"/>
          <w:i w:val="0"/>
        </w:rPr>
        <w:t xml:space="preserve"> Olera's financing strategy combines capital sources that enter at different stages. During the CRP, federal capital finances the R&amp;D and evidence generation that private investors are not yet positioned to underwrite. Caregiver Staffing is validated free in Year 2 and begins paid testing in Year 3, producing approximately $120,000 in recognized revenue and a ~$240,000 annualized exit run rate under the conservative base case (Section 8).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 Olera therefore anticipates a post-CRP financing round of approximately $3–5 million, subject to refinement as CRP unit economics are measured. Detailed revenue assumptions and commercial economics are presented in Section 8.</w:t>
      </w:r>
    </w:p>
    <w:tbl>
      <w:tblPr>
        <w:tblpPr w:leftFromText="180" w:rightFromText="0" w:topFromText="60" w:bottomFromText="60" w:vertAnchor="text" w:horzAnchor="margin" w:tblpY="1" w:tblpX="5314"/>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5299" w:type="dxa"/>
        <w:tblLayout w:type="fixed"/>
        <w:tblOverlap w:val="never"/>
      </w:tblPr>
      <w:tblGrid>
        <w:gridCol w:w="5299"/>
      </w:tblGrid>
      <w:tr>
        <w:tc>
          <w:tcPr>
            <w:tcW w:type="dxa" w:w="5299"/>
          </w:tcPr>
          <w:p>
            <w:pPr>
              <w:spacing w:after="40" w:before="80"/>
              <w:jc w:val="center"/>
            </w:pPr>
            <w:r/>
            <w:r>
              <w:drawing>
                <wp:inline xmlns:a="http://schemas.openxmlformats.org/drawingml/2006/main" xmlns:pic="http://schemas.openxmlformats.org/drawingml/2006/picture">
                  <wp:extent cx="3364992" cy="2450592"/>
                  <wp:docPr id="5" name="Picture 5"/>
                  <wp:cNvGraphicFramePr>
                    <a:graphicFrameLocks noChangeAspect="1"/>
                  </wp:cNvGraphicFramePr>
                  <a:graphic>
                    <a:graphicData uri="http://schemas.openxmlformats.org/drawingml/2006/picture">
                      <pic:pic>
                        <pic:nvPicPr>
                          <pic:cNvPr id="0" name="fig10b.png"/>
                          <pic:cNvPicPr/>
                        </pic:nvPicPr>
                        <pic:blipFill>
                          <a:blip r:embed="rId13"/>
                          <a:stretch>
                            <a:fillRect/>
                          </a:stretch>
                        </pic:blipFill>
                        <pic:spPr>
                          <a:xfrm>
                            <a:off x="0" y="0"/>
                            <a:ext cx="3364992" cy="2450592"/>
                          </a:xfrm>
                          <a:prstGeom prst="rect"/>
                        </pic:spPr>
                      </pic:pic>
                    </a:graphicData>
                  </a:graphic>
                </wp:inline>
              </w:drawing>
            </w:r>
          </w:p>
          <w:p>
            <w:pPr>
              <w:spacing w:after="0"/>
              <w:jc w:val="left"/>
            </w:pPr>
            <w:r>
              <w:rPr>
                <w:b/>
                <w:i w:val="0"/>
                <w:sz w:val="18"/>
              </w:rPr>
              <w:t>Figure 5.</w:t>
            </w:r>
            <w:r>
              <w:rPr>
                <w:b w:val="0"/>
                <w:i w:val="0"/>
                <w:sz w:val="18"/>
              </w:rPr>
              <w:t xml:space="preserve"> Post-CRP growth flywheel.</w:t>
            </w:r>
          </w:p>
        </w:tc>
      </w:tr>
    </w:tbl>
    <w:p>
      <w:pPr>
        <w:spacing w:before="160" w:after="60"/>
        <w:jc w:val="both"/>
      </w:pPr>
      <w:r>
        <w:rPr>
          <w:b/>
          <w:i w:val="0"/>
        </w:rPr>
        <w:t>Use of post-CRP capital.</w:t>
      </w:r>
      <w:r>
        <w:rPr>
          <w:b w:val="0"/>
          <w:i w:val="0"/>
        </w:rPr>
        <w:t xml:space="preserve"> The raise is intentionally larger than the modeled operating deficit because its purpose is not merely to extend runway.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Private capital therefore serves as the bridge from a CRP-validated model to progressively revenue-financed commercial scale (Figure 5).</w:t>
      </w:r>
    </w:p>
    <w:p>
      <w:pPr>
        <w:spacing w:before="160" w:after="60"/>
        <w:jc w:val="both"/>
      </w:pPr>
      <w:r>
        <w:rPr>
          <w:b/>
          <w:i w:val="0"/>
        </w:rPr>
        <w:t>Financing continuity.</w:t>
      </w:r>
      <w:r>
        <w:rPr>
          <w:b w:val="0"/>
          <w:i w:val="0"/>
        </w:rPr>
        <w:t xml:space="preserve"> If financing takes longer than expected, management can moderate expansion while commercial revenue extends runway.</w:t>
      </w:r>
    </w:p>
    <w:p>
      <w:pPr>
        <w:keepNext/>
        <w:spacing w:before="220" w:after="80"/>
        <w:jc w:val="left"/>
        <w:pBdr>
          <w:bottom w:val="single" w:sz="12" w:space="2" w:color="000000"/>
        </w:pBdr>
      </w:pPr>
      <w:r>
        <w:rPr>
          <w:b/>
        </w:rPr>
        <w:t>7. Production and Marketing Plan</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the county in which families can enter CareNavigator, providers can participate, workers can enter local provider labor pools through Caregiver Staffing, and completed care pathways can be measured.</w:t>
      </w:r>
    </w:p>
    <w:p>
      <w:pPr>
        <w:spacing w:before="160" w:after="60"/>
        <w:jc w:val="both"/>
      </w:pPr>
      <w:r>
        <w:rPr>
          <w:b/>
          <w:i w:val="0"/>
        </w:rPr>
        <w:t>Digital product and AI infrastructure.</w:t>
      </w:r>
      <w:r>
        <w:rPr>
          <w:b w:val="0"/>
          <w:i w:val="0"/>
        </w:rPr>
        <w:t xml:space="preserve"> CareNavigator and Caregiver Staffing are developed by Olera's internal engineering team, including the founders and full-time engineering personnel. Because the products are software, there is no manufacturing, inventory, or physical-distribution dependency.</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Caregiver Staffing operates through the same platform: providers can seek workers for staffing needs arising anywhere in their business, while CareNavigator provides an additional signal when local workforce capacity is preventing a family from establishing care.</w:t>
      </w:r>
    </w:p>
    <w:p>
      <w:pPr>
        <w:spacing w:before="160" w:after="60"/>
        <w:jc w:val="both"/>
      </w:pPr>
      <w:r>
        <w:rPr>
          <w:b/>
          <w:i w:val="0"/>
        </w:rPr>
        <w:t>Market selection and activation.</w:t>
      </w:r>
      <w:r>
        <w:rPr>
          <w:b w:val="0"/>
          <w:i w:val="0"/>
        </w:rPr>
        <w:t xml:space="preserve"> 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w:t>
      </w:r>
    </w:p>
    <w:p>
      <w:pPr>
        <w:spacing w:before="160" w:after="60"/>
        <w:jc w:val="both"/>
      </w:pPr>
      <w:r>
        <w:rPr>
          <w:b/>
          <w:i w:val="0"/>
        </w:rPr>
        <w:t>Customer and participant acquisition.</w:t>
      </w:r>
      <w:r>
        <w:rPr>
          <w:b w:val="0"/>
          <w:i w:val="0"/>
        </w:rPr>
        <w:t xml:space="preserve"> 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6).</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Audience</w:t>
            </w:r>
          </w:p>
        </w:tc>
        <w:tc>
          <w:tcPr>
            <w:tcW w:type="dxa" w:w="2700"/>
            <w:tcBorders>
              <w:bottom w:val="single" w:sz="8" w:space="0" w:color="14453F"/>
            </w:tcBorders>
          </w:tcPr>
          <w:p>
            <w:pPr>
              <w:spacing w:before="30" w:after="30"/>
              <w:jc w:val="left"/>
            </w:pPr>
            <w:r/>
            <w:r>
              <w:rPr>
                <w:b/>
                <w:i w:val="0"/>
                <w:color w:val="14453F"/>
                <w:sz w:val="18"/>
              </w:rPr>
              <w:t>Established acquisition base</w:t>
            </w:r>
          </w:p>
        </w:tc>
        <w:tc>
          <w:tcPr>
            <w:tcW w:type="dxa" w:w="2700"/>
            <w:tcBorders>
              <w:bottom w:val="single" w:sz="8" w:space="0" w:color="14453F"/>
            </w:tcBorders>
          </w:tcPr>
          <w:p>
            <w:pPr>
              <w:spacing w:before="30" w:after="30"/>
              <w:jc w:val="left"/>
            </w:pPr>
            <w:r/>
            <w:r>
              <w:rPr>
                <w:b/>
                <w:i w:val="0"/>
                <w:color w:val="14453F"/>
                <w:sz w:val="18"/>
              </w:rPr>
              <w:t>CRP market-concentration channels</w:t>
            </w:r>
          </w:p>
        </w:tc>
        <w:tc>
          <w:tcPr>
            <w:tcW w:type="dxa" w:w="2700"/>
            <w:tcBorders>
              <w:bottom w:val="single" w:sz="8" w:space="0" w:color="14453F"/>
            </w:tcBorders>
          </w:tcPr>
          <w:p>
            <w:pPr>
              <w:spacing w:before="30" w:after="30"/>
              <w:jc w:val="left"/>
            </w:pPr>
            <w:r/>
            <w:r>
              <w:rPr>
                <w:b/>
                <w:i w:val="0"/>
                <w:color w:val="14453F"/>
                <w:sz w:val="18"/>
              </w:rPr>
              <w:t>Conversion/activation</w:t>
            </w:r>
          </w:p>
        </w:tc>
      </w:tr>
      <w:tr>
        <w:tc>
          <w:tcPr>
            <w:tcW w:type="dxa" w:w="2700"/>
            <w:tcBorders>
              <w:bottom w:val="single" w:sz="2" w:space="0" w:color="B9C4BD"/>
            </w:tcBorders>
          </w:tcPr>
          <w:p>
            <w:pPr>
              <w:spacing w:before="30" w:after="30"/>
              <w:jc w:val="left"/>
            </w:pPr>
            <w:r/>
            <w:r>
              <w:rPr>
                <w:b/>
                <w:i w:val="0"/>
                <w:color w:val="14453F"/>
                <w:sz w:val="18"/>
              </w:rPr>
              <w:t>Families</w:t>
            </w:r>
          </w:p>
        </w:tc>
        <w:tc>
          <w:tcPr>
            <w:tcW w:type="dxa" w:w="2700"/>
            <w:tcBorders>
              <w:bottom w:val="single" w:sz="2" w:space="0" w:color="B9C4BD"/>
            </w:tcBorders>
          </w:tcPr>
          <w:p>
            <w:pPr>
              <w:spacing w:before="30" w:after="30"/>
              <w:jc w:val="left"/>
            </w:pPr>
            <w:r/>
            <w:r>
              <w:rPr>
                <w:b w:val="0"/>
                <w:i w:val="0"/>
                <w:sz w:val="18"/>
              </w:rPr>
              <w:t>Organic search through provider pages, benefits resources, and guides; social communities</w:t>
            </w:r>
          </w:p>
        </w:tc>
        <w:tc>
          <w:tcPr>
            <w:tcW w:type="dxa" w:w="2700"/>
            <w:tcBorders>
              <w:bottom w:val="single" w:sz="2" w:space="0" w:color="B9C4BD"/>
            </w:tcBorders>
          </w:tcPr>
          <w:p>
            <w:pPr>
              <w:spacing w:before="30" w:after="30"/>
              <w:jc w:val="left"/>
            </w:pPr>
            <w:r/>
            <w:r>
              <w:rPr>
                <w:b w:val="0"/>
                <w:i w:val="0"/>
                <w:sz w:val="18"/>
              </w:rPr>
              <w:t>Geo-targeted search and social ads; community, faith, and aging-service organizations; clinics</w:t>
            </w:r>
          </w:p>
        </w:tc>
        <w:tc>
          <w:tcPr>
            <w:tcW w:type="dxa" w:w="2700"/>
            <w:tcBorders>
              <w:bottom w:val="single" w:sz="2" w:space="0" w:color="B9C4BD"/>
            </w:tcBorders>
          </w:tcPr>
          <w:p>
            <w:pPr>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spacing w:before="30" w:after="30"/>
              <w:jc w:val="left"/>
            </w:pPr>
            <w:r/>
            <w:r>
              <w:rPr>
                <w:b/>
                <w:i w:val="0"/>
                <w:color w:val="14453F"/>
                <w:sz w:val="18"/>
              </w:rPr>
              <w:t>Providers</w:t>
            </w:r>
          </w:p>
        </w:tc>
        <w:tc>
          <w:tcPr>
            <w:tcW w:type="dxa" w:w="2700"/>
            <w:tcBorders>
              <w:bottom w:val="single" w:sz="2" w:space="0" w:color="B9C4BD"/>
            </w:tcBorders>
          </w:tcPr>
          <w:p>
            <w:pPr>
              <w:spacing w:before="30" w:after="30"/>
              <w:jc w:val="left"/>
            </w:pPr>
            <w:r/>
            <w:r>
              <w:rPr>
                <w:b w:val="0"/>
                <w:i w:val="0"/>
                <w:sz w:val="18"/>
              </w:rPr>
              <w:t>National provider index; organic discovery; inbound profile claiming</w:t>
            </w:r>
          </w:p>
        </w:tc>
        <w:tc>
          <w:tcPr>
            <w:tcW w:type="dxa" w:w="2700"/>
            <w:tcBorders>
              <w:bottom w:val="single" w:sz="2" w:space="0" w:color="B9C4BD"/>
            </w:tcBorders>
          </w:tcPr>
          <w:p>
            <w:pPr>
              <w:spacing w:before="30" w:after="30"/>
              <w:jc w:val="left"/>
            </w:pPr>
            <w:r/>
            <w:r>
              <w:rPr>
                <w:b w:val="0"/>
                <w:i w:val="0"/>
                <w:sz w:val="18"/>
              </w:rPr>
              <w:t>Claim-your-profile email and calls; family inquiries; associations, conferences, franchise relationships</w:t>
            </w:r>
          </w:p>
        </w:tc>
        <w:tc>
          <w:tcPr>
            <w:tcW w:type="dxa" w:w="2700"/>
            <w:tcBorders>
              <w:bottom w:val="single" w:sz="2" w:space="0" w:color="B9C4BD"/>
            </w:tcBorders>
          </w:tcPr>
          <w:p>
            <w:pPr>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spacing w:before="30" w:after="30"/>
              <w:jc w:val="left"/>
            </w:pPr>
            <w:r/>
            <w:r>
              <w:rPr>
                <w:b/>
                <w:i w:val="0"/>
                <w:color w:val="14453F"/>
                <w:sz w:val="18"/>
              </w:rPr>
              <w:t>Caregiver workforce</w:t>
            </w:r>
          </w:p>
        </w:tc>
        <w:tc>
          <w:tcPr>
            <w:tcW w:type="dxa" w:w="2700"/>
            <w:tcBorders>
              <w:bottom w:val="single" w:sz="2" w:space="0" w:color="B9C4BD"/>
            </w:tcBorders>
          </w:tcPr>
          <w:p>
            <w:pPr>
              <w:spacing w:before="30" w:after="30"/>
              <w:jc w:val="left"/>
            </w:pPr>
            <w:r/>
            <w:r>
              <w:rPr>
                <w:b w:val="0"/>
                <w:i w:val="0"/>
                <w:sz w:val="18"/>
              </w:rPr>
              <w:t>University relationships and prior applicant pipeline</w:t>
            </w:r>
          </w:p>
        </w:tc>
        <w:tc>
          <w:tcPr>
            <w:tcW w:type="dxa" w:w="2700"/>
            <w:tcBorders>
              <w:bottom w:val="single" w:sz="2" w:space="0" w:color="B9C4BD"/>
            </w:tcBorders>
          </w:tcPr>
          <w:p>
            <w:pPr>
              <w:spacing w:before="30" w:after="30"/>
              <w:jc w:val="left"/>
            </w:pPr>
            <w:r/>
            <w:r>
              <w:rPr>
                <w:b w:val="0"/>
                <w:i w:val="0"/>
                <w:sz w:val="18"/>
              </w:rPr>
              <w:t>Career centers and job boards; student organizations; advisors and faculty; career fairs</w:t>
            </w:r>
          </w:p>
        </w:tc>
        <w:tc>
          <w:tcPr>
            <w:tcW w:type="dxa" w:w="2700"/>
            <w:tcBorders>
              <w:bottom w:val="single" w:sz="2" w:space="0" w:color="B9C4BD"/>
            </w:tcBorders>
          </w:tcPr>
          <w:p>
            <w:pPr>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targeted outreach to MA plans, MCOs, ACOs, health systems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6.</w:t>
      </w:r>
      <w:r>
        <w:rPr>
          <w:b w:val="0"/>
          <w:i w:val="0"/>
          <w:sz w:val="18"/>
        </w:rPr>
        <w:t xml:space="preserve"> Distinct but coordinated acquisition channels concentrate the participants and customers each local market requires.</w:t>
      </w:r>
    </w:p>
    <w:tbl>
      <w:tblPr>
        <w:tblpPr w:leftFromText="180" w:rightFromText="0" w:topFromText="60" w:bottomFromText="60" w:vertAnchor="text" w:horzAnchor="margin" w:tblpY="1" w:tblpX="5861"/>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752" w:type="dxa"/>
        <w:tblLayout w:type="fixed"/>
        <w:tblOverlap w:val="never"/>
      </w:tblPr>
      <w:tblGrid>
        <w:gridCol w:w="4752"/>
      </w:tblGrid>
      <w:tr>
        <w:tc>
          <w:tcPr>
            <w:tcW w:type="dxa" w:w="4752"/>
          </w:tcPr>
          <w:p>
            <w:pPr>
              <w:spacing w:after="40" w:before="80"/>
              <w:jc w:val="center"/>
            </w:pPr>
            <w:r/>
            <w:r>
              <w:drawing>
                <wp:inline xmlns:a="http://schemas.openxmlformats.org/drawingml/2006/main" xmlns:pic="http://schemas.openxmlformats.org/drawingml/2006/picture">
                  <wp:extent cx="3017520" cy="2193177"/>
                  <wp:docPr id="6" name="Picture 6"/>
                  <wp:cNvGraphicFramePr>
                    <a:graphicFrameLocks noChangeAspect="1"/>
                  </wp:cNvGraphicFramePr>
                  <a:graphic>
                    <a:graphicData uri="http://schemas.openxmlformats.org/drawingml/2006/picture">
                      <pic:pic>
                        <pic:nvPicPr>
                          <pic:cNvPr id="0" name="figxorg.png"/>
                          <pic:cNvPicPr/>
                        </pic:nvPicPr>
                        <pic:blipFill>
                          <a:blip r:embed="rId14"/>
                          <a:stretch>
                            <a:fillRect/>
                          </a:stretch>
                        </pic:blipFill>
                        <pic:spPr>
                          <a:xfrm>
                            <a:off x="0" y="0"/>
                            <a:ext cx="3017520" cy="2193177"/>
                          </a:xfrm>
                          <a:prstGeom prst="rect"/>
                        </pic:spPr>
                      </pic:pic>
                    </a:graphicData>
                  </a:graphic>
                </wp:inline>
              </w:drawing>
            </w:r>
          </w:p>
          <w:p>
            <w:pPr>
              <w:spacing w:after="0"/>
              <w:jc w:val="left"/>
            </w:pPr>
            <w:r>
              <w:rPr>
                <w:b/>
                <w:i w:val="0"/>
                <w:sz w:val="18"/>
              </w:rPr>
              <w:t>Figure 6.</w:t>
            </w:r>
            <w:r>
              <w:rPr>
                <w:b w:val="0"/>
                <w:i w:val="0"/>
                <w:sz w:val="18"/>
              </w:rPr>
              <w:t xml:space="preserve"> Organic traffic growth, 2023–2026.</w:t>
            </w:r>
          </w:p>
        </w:tc>
      </w:tr>
    </w:tbl>
    <w:p>
      <w:pPr>
        <w:spacing w:before="160" w:after="60"/>
        <w:jc w:val="both"/>
      </w:pPr>
      <w:r>
        <w:rPr>
          <w:b/>
          <w:i w:val="0"/>
        </w:rPr>
        <w:t>Sales and contracting.</w:t>
      </w:r>
      <w:r>
        <w:rPr>
          <w:b w:val="0"/>
          <w:i w:val="0"/>
        </w:rPr>
        <w:t xml:space="preserve"> 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w:t>
      </w:r>
    </w:p>
    <w:p>
      <w:pPr>
        <w:spacing w:before="160" w:after="60"/>
        <w:jc w:val="both"/>
      </w:pPr>
      <w:r>
        <w:rPr>
          <w:b/>
          <w:i w:val="0"/>
        </w:rPr>
        <w:t>Institutional development is evidence-gated rather than transactional.</w:t>
      </w:r>
      <w:r>
        <w:rPr>
          <w:b w:val="0"/>
          <w:i w:val="0"/>
        </w:rPr>
        <w:t xml:space="preserve"> Olera will identify Medicare Advantage plans, Medicaid managed-care and managed-LTSS organizations, ACOs, health systems, and other prospective buyers with meaningful member concentration in markets where CRP data can demonstrate care-establishment and economic value.</w:t>
      </w:r>
    </w:p>
    <w:p>
      <w:pPr>
        <w:spacing w:before="160" w:after="60"/>
        <w:jc w:val="both"/>
      </w:pPr>
      <w:r>
        <w:rPr>
          <w:b/>
          <w:i w:val="0"/>
        </w:rPr>
        <w:t>Distribution and route to market.</w:t>
      </w:r>
      <w:r>
        <w:rPr>
          <w:b w:val="0"/>
          <w:i w:val="0"/>
        </w:rPr>
        <w:t xml:space="preserve"> Olera's distribution advantage is already visible in organic demand: traffic has grown from approximately 50 visitors per day in 2023 to more than 500 per day in 2026 without paid acquisition (Figure 6).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Scaling the production and commercial system.</w:t>
      </w:r>
      <w:r>
        <w:rPr>
          <w:b w:val="0"/>
          <w:i w:val="0"/>
        </w:rPr>
        <w:t xml:space="preserve"> The CRP does not fund construction of a commercialization apparatus from scratch; it measures, systematizes, and makes repeatable operating processes Olera already uses.</w:t>
      </w:r>
    </w:p>
    <w:p>
      <w:pPr>
        <w:keepNext/>
        <w:spacing w:before="220" w:after="80"/>
        <w:jc w:val="left"/>
        <w:pBdr>
          <w:bottom w:val="single" w:sz="12" w:space="2" w:color="000000"/>
        </w:pBdr>
      </w:pPr>
      <w:r>
        <w:rPr>
          <w:b/>
        </w:rPr>
        <w:t>8. Revenue Stream</w:t>
      </w:r>
    </w:p>
    <w:p>
      <w:pPr>
        <w:spacing w:before="160" w:after="60"/>
        <w:jc w:val="both"/>
      </w:pPr>
      <w:r>
        <w:rPr>
          <w:b/>
          <w:i w:val="0"/>
        </w:rPr>
        <w:t>Two revenue engines, sequenced by evidence.</w:t>
      </w:r>
      <w:r>
        <w:rPr>
          <w:b w:val="0"/>
          <w:i w:val="0"/>
        </w:rPr>
        <w:t xml:space="preserve">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(Table 7).</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6</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14</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8" w:space="0" w:color="14453F"/>
            </w:tcBorders>
          </w:tcPr>
          <w:p>
            <w:pPr>
              <w:spacing w:before="30" w:after="30"/>
              <w:jc w:val="left"/>
            </w:pPr>
            <w:r/>
            <w:r>
              <w:rPr>
                <w:b/>
                <w:i w:val="0"/>
                <w:color w:val="14453F"/>
                <w:sz w:val="18"/>
              </w:rPr>
              <w:t>Annual value per relationship</w:t>
            </w:r>
          </w:p>
        </w:tc>
        <w:tc>
          <w:tcPr>
            <w:tcW w:type="dxa" w:w="2700"/>
            <w:tcBorders>
              <w:bottom w:val="single" w:sz="8" w:space="0" w:color="14453F"/>
            </w:tcBorders>
          </w:tcPr>
          <w:p>
            <w:pPr>
              <w:spacing w:before="30" w:after="30"/>
              <w:jc w:val="left"/>
            </w:pPr>
            <w:r/>
            <w:r>
              <w:rPr>
                <w:b w:val="0"/>
                <w:i w:val="0"/>
                <w:sz w:val="18"/>
              </w:rPr>
              <w:t>About $250K</w:t>
            </w:r>
          </w:p>
        </w:tc>
        <w:tc>
          <w:tcPr>
            <w:tcW w:type="dxa" w:w="2700"/>
            <w:tcBorders>
              <w:bottom w:val="single" w:sz="8" w:space="0" w:color="14453F"/>
            </w:tcBorders>
          </w:tcPr>
          <w:p>
            <w:pPr>
              <w:spacing w:before="30" w:after="30"/>
              <w:jc w:val="left"/>
            </w:pPr>
            <w:r/>
            <w:r>
              <w:rPr>
                <w:b w:val="0"/>
                <w:i w:val="0"/>
                <w:sz w:val="18"/>
              </w:rPr>
              <w:t>Negotiated after evidence</w:t>
            </w:r>
          </w:p>
        </w:tc>
        <w:tc>
          <w:tcPr>
            <w:tcW w:type="dxa" w:w="2700"/>
            <w:tcBorders>
              <w:bottom w:val="single" w:sz="8" w:space="0" w:color="14453F"/>
            </w:tcBorders>
          </w:tcPr>
          <w:p>
            <w:pPr>
              <w:spacing w:before="30" w:after="30"/>
              <w:jc w:val="left"/>
            </w:pPr>
            <w:r/>
            <w:r>
              <w:rPr>
                <w:b w:val="0"/>
                <w:i w:val="0"/>
                <w:sz w:val="18"/>
              </w:rPr>
              <w:t>Planning hypothesis, not a benchmark</w:t>
            </w:r>
          </w:p>
        </w:tc>
      </w:tr>
    </w:tbl>
    <w:p>
      <w:pPr>
        <w:spacing w:before="40" w:after="120"/>
        <w:jc w:val="left"/>
      </w:pPr>
      <w:r>
        <w:rPr>
          <w:b/>
          <w:i w:val="0"/>
          <w:sz w:val="18"/>
        </w:rPr>
        <w:t>Table 7.</w:t>
      </w:r>
      <w:r>
        <w:rPr>
          <w:b w:val="0"/>
          <w:i w:val="0"/>
          <w:sz w:val="18"/>
        </w:rPr>
        <w:t xml:space="preserve"> The projection separates published benchmarks from Olera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sz w:val="16"/>
          <w:position w:val="7"/>
        </w:rPr>
        <w:t>5</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reach established care, why pathways fail when they do not, and what happens longitudinally afterward. This matters economically because unmet home- and community-based service needs have been associated with substantially greater acute-care utilization (Section 1).</w:t>
      </w:r>
      <w:r>
        <w:rPr>
          <w:b w:val="0"/>
          <w:i w:val="0"/>
          <w:sz w:val="16"/>
          <w:position w:val="7"/>
        </w:rPr>
        <w:t>8</w:t>
      </w:r>
      <w:r>
        <w:rPr>
          <w:b w:val="0"/>
          <w:i w:val="0"/>
        </w:rPr>
        <w:t xml:space="preserve"> The CRP does not assume that CareNavigator prevents these downstream events; it generates the evidence needed to determine whether that value proposition is real.</w:t>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sz w:val="16"/>
          <w:position w:val="7"/>
        </w:rPr>
        <w:t>9,10</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8.</w:t>
      </w:r>
      <w:r>
        <w:rPr>
          <w:b w:val="0"/>
          <w:i w:val="0"/>
          <w:sz w:val="18"/>
        </w:rPr>
        <w:t xml:space="preserve"> Illustrative base case through post-CRP Year 4, with the final column widening Year 5 into a Year 5 to Year 10 range. *Six paid-month equivalents in Year 3.</w:t>
      </w:r>
    </w:p>
    <w:p>
      <w:pPr>
        <w:spacing w:before="160" w:after="60"/>
        <w:jc w:val="both"/>
      </w:pPr>
      <w:r>
        <w:rPr>
          <w:b/>
          <w:i w:val="0"/>
        </w:rPr>
        <w:t>How the projection should be read.</w:t>
      </w:r>
      <w:r>
        <w:rPr>
          <w:b w:val="0"/>
          <w:i w:val="0"/>
        </w:rPr>
        <w:t xml:space="preserve"> These are bottom-up scenarios derived from the number of successful caregiver hires Olera can produce in each county and the number of evidence-gated institutional contracts the company can secure. The principal assumptions, Staffing throughput, price, repeat purchasing, contribution margin, and institutional contracting value, are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Engineering grows more slowly because the platform, portals, and workflows are designed for self-service and automation.</w:t>
      </w:r>
    </w:p>
    <w:p>
      <w:pPr>
        <w:keepNext/>
        <w:spacing w:before="220" w:after="80"/>
        <w:jc w:val="left"/>
        <w:pBdr>
          <w:bottom w:val="single" w:sz="12" w:space="2" w:color="000000"/>
        </w:pBdr>
      </w:pPr>
      <w:r>
        <w:rPr>
          <w:b/>
        </w:rPr>
        <w:t>9.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Independent statistical review and external CPA validation of the commercial unit-economics model provide additional checks.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A milestone that misses its predefined threshold triggers the corresponding alternative strategy rather than automatic continuation.</w:t>
      </w:r>
    </w:p>
    <w:p>
      <w:pPr>
        <w:spacing w:before="160" w:after="60"/>
        <w:jc w:val="both"/>
      </w:pPr>
      <w:r>
        <w:rPr>
          <w:b/>
          <w:i w:val="0"/>
        </w:rPr>
        <w:t>Commercialization timeline and gates.</w:t>
      </w:r>
      <w:r>
        <w:rPr>
          <w:b w:val="0"/>
          <w:i w:val="0"/>
        </w:rPr>
        <w:t xml:space="preserve"> The detailed experimental timeline and thresholds are provided in the Research Strategy; the management timeline below shows how those activities produce successive commercialization decisions.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Period</w:t>
            </w:r>
          </w:p>
        </w:tc>
        <w:tc>
          <w:tcPr>
            <w:tcW w:type="dxa" w:w="3600"/>
            <w:tcBorders>
              <w:bottom w:val="single" w:sz="8" w:space="0" w:color="14453F"/>
            </w:tcBorders>
          </w:tcPr>
          <w:p>
            <w:pPr>
              <w:spacing w:before="30" w:after="30"/>
              <w:jc w:val="left"/>
            </w:pPr>
            <w:r/>
            <w:r>
              <w:rPr>
                <w:b/>
                <w:i w:val="0"/>
                <w:color w:val="14453F"/>
                <w:sz w:val="18"/>
              </w:rPr>
              <w:t>Commercialization milestone</w:t>
            </w:r>
          </w:p>
        </w:tc>
        <w:tc>
          <w:tcPr>
            <w:tcW w:type="dxa" w:w="3600"/>
            <w:tcBorders>
              <w:bottom w:val="single" w:sz="8" w:space="0" w:color="14453F"/>
            </w:tcBorders>
          </w:tcPr>
          <w:p>
            <w:pPr>
              <w:spacing w:before="30" w:after="30"/>
              <w:jc w:val="left"/>
            </w:pPr>
            <w:r/>
            <w:r>
              <w:rPr>
                <w:b/>
                <w:i w:val="0"/>
                <w:color w:val="14453F"/>
                <w:sz w:val="18"/>
              </w:rPr>
              <w:t>Decision or financing gate</w:t>
            </w:r>
          </w:p>
        </w:tc>
      </w:tr>
      <w:tr>
        <w:tc>
          <w:tcPr>
            <w:tcW w:type="dxa" w:w="36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3600"/>
            <w:tcBorders>
              <w:bottom w:val="single" w:sz="2" w:space="0" w:color="B9C4BD"/>
            </w:tcBorders>
          </w:tcPr>
          <w:p>
            <w:pPr>
              <w:spacing w:before="30" w:after="30"/>
              <w:jc w:val="left"/>
            </w:pPr>
            <w:r/>
            <w:r>
              <w:rPr>
                <w:b w:val="0"/>
                <w:i w:val="0"/>
                <w:sz w:val="18"/>
              </w:rPr>
              <w:t>Technical and measurement infrastructure operational; Staffing workflow ready for real-world deployment.</w:t>
            </w:r>
          </w:p>
        </w:tc>
        <w:tc>
          <w:tcPr>
            <w:tcW w:type="dxa" w:w="3600"/>
            <w:tcBorders>
              <w:bottom w:val="single" w:sz="2" w:space="0" w:color="B9C4BD"/>
            </w:tcBorders>
          </w:tcPr>
          <w:p>
            <w:pPr>
              <w:spacing w:before="30" w:after="30"/>
              <w:jc w:val="left"/>
            </w:pPr>
            <w:r/>
            <w:r>
              <w:rPr>
                <w:b w:val="0"/>
                <w:i w:val="0"/>
                <w:sz w:val="18"/>
              </w:rPr>
              <w:t>Confirm readiness for real-world market validation.</w:t>
            </w:r>
          </w:p>
        </w:tc>
      </w:tr>
      <w:tr>
        <w:tc>
          <w:tcPr>
            <w:tcW w:type="dxa" w:w="36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3600"/>
            <w:tcBorders>
              <w:bottom w:val="single" w:sz="2" w:space="0" w:color="B9C4BD"/>
            </w:tcBorders>
          </w:tcPr>
          <w:p>
            <w:pPr>
              <w:spacing w:before="30" w:after="30"/>
              <w:jc w:val="left"/>
            </w:pPr>
            <w:r/>
            <w:r>
              <w:rPr>
                <w:b w:val="0"/>
                <w:i w:val="0"/>
                <w:sz w:val="18"/>
              </w:rPr>
              <w:t>Quantify acquisition costs, hires per county per month, provider demand, geographic replicability, and care-establishment performance.</w:t>
            </w:r>
          </w:p>
        </w:tc>
        <w:tc>
          <w:tcPr>
            <w:tcW w:type="dxa" w:w="3600"/>
            <w:tcBorders>
              <w:bottom w:val="single" w:sz="2" w:space="0" w:color="B9C4BD"/>
            </w:tcBorders>
          </w:tcPr>
          <w:p>
            <w:pPr>
              <w:spacing w:before="30" w:after="30"/>
              <w:jc w:val="left"/>
            </w:pPr>
            <w:r/>
            <w:r>
              <w:rPr>
                <w:b w:val="0"/>
                <w:i w:val="0"/>
                <w:sz w:val="18"/>
              </w:rPr>
              <w:t>Determine which configurations advance to paid testing; begin investor cultivation.</w:t>
            </w:r>
          </w:p>
        </w:tc>
      </w:tr>
      <w:tr>
        <w:tc>
          <w:tcPr>
            <w:tcW w:type="dxa" w:w="36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3600"/>
            <w:tcBorders>
              <w:bottom w:val="single" w:sz="2" w:space="0" w:color="B9C4BD"/>
            </w:tcBorders>
          </w:tcPr>
          <w:p>
            <w:pPr>
              <w:spacing w:before="30" w:after="30"/>
              <w:jc w:val="left"/>
            </w:pPr>
            <w:r/>
            <w:r>
              <w:rPr>
                <w:b w:val="0"/>
                <w:i w:val="0"/>
                <w:sz w:val="18"/>
              </w:rPr>
              <w:t>About $120K recognized Staffing revenue and about $240K annualized exit run rate; county economics characterized.</w:t>
            </w:r>
          </w:p>
        </w:tc>
        <w:tc>
          <w:tcPr>
            <w:tcW w:type="dxa" w:w="3600"/>
            <w:tcBorders>
              <w:bottom w:val="single" w:sz="2" w:space="0" w:color="B9C4BD"/>
            </w:tcBorders>
          </w:tcPr>
          <w:p>
            <w:pPr>
              <w:spacing w:before="30" w:after="30"/>
              <w:jc w:val="left"/>
            </w:pPr>
            <w:r/>
            <w:r>
              <w:rPr>
                <w:b w:val="0"/>
                <w:i w:val="0"/>
                <w:sz w:val="18"/>
              </w:rPr>
              <w:t>Select markets for post-CRP replication; conduct the third-party financing process before CRP runway ends.</w:t>
            </w:r>
          </w:p>
        </w:tc>
      </w:tr>
      <w:tr>
        <w:tc>
          <w:tcPr>
            <w:tcW w:type="dxa" w:w="36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3600"/>
            <w:tcBorders>
              <w:bottom w:val="single" w:sz="2" w:space="0" w:color="B9C4BD"/>
            </w:tcBorders>
          </w:tcPr>
          <w:p>
            <w:pPr>
              <w:spacing w:before="30" w:after="30"/>
              <w:jc w:val="left"/>
            </w:pPr>
            <w:r/>
            <w:r>
              <w:rPr>
                <w:b w:val="0"/>
                <w:i w:val="0"/>
                <w:sz w:val="18"/>
              </w:rPr>
              <w:t>About $600K combined commercial revenue, with Staffing expansion and initial institutional revenue.</w:t>
            </w:r>
          </w:p>
        </w:tc>
        <w:tc>
          <w:tcPr>
            <w:tcW w:type="dxa" w:w="3600"/>
            <w:tcBorders>
              <w:bottom w:val="single" w:sz="2" w:space="0" w:color="B9C4BD"/>
            </w:tcBorders>
          </w:tcPr>
          <w:p>
            <w:pPr>
              <w:spacing w:before="30" w:after="30"/>
              <w:jc w:val="left"/>
            </w:pPr>
            <w:r/>
            <w:r>
              <w:rPr>
                <w:b w:val="0"/>
                <w:i w:val="0"/>
                <w:sz w:val="18"/>
              </w:rPr>
              <w:t>Set expansion pace based on measured county economics, institutional traction, and available capital.</w:t>
            </w:r>
          </w:p>
        </w:tc>
      </w:tr>
      <w:tr>
        <w:tc>
          <w:tcPr>
            <w:tcW w:type="dxa" w:w="36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3600"/>
            <w:tcBorders>
              <w:bottom w:val="single" w:sz="8" w:space="0" w:color="14453F"/>
            </w:tcBorders>
          </w:tcPr>
          <w:p>
            <w:pPr>
              <w:spacing w:before="30" w:after="30"/>
              <w:jc w:val="left"/>
            </w:pPr>
            <w:r/>
            <w:r>
              <w:rPr>
                <w:b w:val="0"/>
                <w:i w:val="0"/>
                <w:sz w:val="18"/>
              </w:rPr>
              <w:t>About $1.5M combined commercial revenue, approximately 25 Staffing counties and three institutional relationships.</w:t>
            </w:r>
          </w:p>
        </w:tc>
        <w:tc>
          <w:tcPr>
            <w:tcW w:type="dxa" w:w="3600"/>
            <w:tcBorders>
              <w:bottom w:val="single" w:sz="8" w:space="0" w:color="14453F"/>
            </w:tcBorders>
          </w:tcPr>
          <w:p>
            <w:pPr>
              <w:spacing w:before="30" w:after="30"/>
              <w:jc w:val="left"/>
            </w:pPr>
            <w:r/>
            <w:r>
              <w:rPr>
                <w:b w:val="0"/>
                <w:i w:val="0"/>
                <w:sz w:val="18"/>
              </w:rPr>
              <w:t>Scale according to measured economics and capital efficiency.</w:t>
            </w:r>
          </w:p>
        </w:tc>
      </w:tr>
    </w:tbl>
    <w:p>
      <w:pPr>
        <w:spacing w:before="40" w:after="120"/>
        <w:jc w:val="left"/>
      </w:pPr>
      <w:r>
        <w:rPr>
          <w:b/>
          <w:i w:val="0"/>
          <w:sz w:val="18"/>
        </w:rPr>
        <w:t>Table 9.</w:t>
      </w:r>
      <w:r>
        <w:rPr>
          <w:b w:val="0"/>
          <w:i w:val="0"/>
          <w:sz w:val="18"/>
        </w:rPr>
        <w:t xml:space="preserve"> Five-year commercialization management timeline. Revenue values are planning projections rather than CRP success criteria.</w:t>
      </w:r>
    </w:p>
    <w:p>
      <w:pPr>
        <w:keepNext/>
        <w:pageBreakBefore/>
        <w:spacing w:before="220" w:after="80"/>
        <w:jc w:val="left"/>
        <w:pBdr>
          <w:bottom w:val="single" w:sz="12" w:space="2" w:color="000000"/>
        </w:pBdr>
      </w:pPr>
      <w:r>
        <w:rPr>
          <w:b/>
        </w:rPr>
        <w:t>References</w:t>
      </w:r>
    </w:p>
    <w:p>
      <w:pPr>
        <w:spacing w:after="80"/>
        <w:ind w:left="317" w:hanging="317"/>
        <w:jc w:val="left"/>
      </w:pPr>
      <w:r>
        <w:rPr>
          <w:b w:val="0"/>
          <w:i w:val="0"/>
        </w:rPr>
        <w:t>1. Agency for Healthcare Research and Quality. Evidence Map on Home- and Community-Based Services and Person-Centered Care for Older Adults. Technical Brief No. 49; 2024.</w:t>
      </w:r>
    </w:p>
    <w:p>
      <w:pPr>
        <w:spacing w:after="80"/>
        <w:ind w:left="317" w:hanging="317"/>
        <w:jc w:val="left"/>
      </w:pPr>
      <w:r>
        <w:rPr>
          <w:b w:val="0"/>
          <w:i w:val="0"/>
        </w:rPr>
        <w:t>2. Fan Q, Hoang MN, DuBose L, et al. The Olera.care Digital Caregiving Assistance Platform for Dementia Caregivers: Preliminary Evaluation Study. JMIR Aging. 2024;7:e55132.</w:t>
      </w:r>
    </w:p>
    <w:p>
      <w:pPr>
        <w:spacing w:after="80"/>
        <w:ind w:left="317" w:hanging="317"/>
        <w:jc w:val="left"/>
      </w:pPr>
      <w:r>
        <w:rPr>
          <w:b w:val="0"/>
          <w:i w:val="0"/>
        </w:rPr>
        <w:t>3. Hoang MN, Kim L, Fisher L, et al. Exploring Informal Caregivers' Perception of the Olera Digital Caregiving Assistance Platform for Dementia Care. JMIR Form Res. 2026;10:e92967.</w:t>
      </w:r>
    </w:p>
    <w:p>
      <w:pPr>
        <w:spacing w:after="80"/>
        <w:ind w:left="317" w:hanging="317"/>
        <w:jc w:val="left"/>
      </w:pPr>
      <w:r>
        <w:rPr>
          <w:b w:val="0"/>
          <w:i w:val="0"/>
        </w:rPr>
        <w:t>4. Olera, Inc. Caregiver Staffing pilot placements and provider fees, 2024 to 2025. Data on file.</w:t>
      </w:r>
    </w:p>
    <w:p>
      <w:pPr>
        <w:spacing w:after="80"/>
        <w:ind w:left="317" w:hanging="317"/>
        <w:jc w:val="left"/>
      </w:pPr>
      <w:r>
        <w:rPr>
          <w:b w:val="0"/>
          <w:i w:val="0"/>
        </w:rPr>
        <w:t>5. U.S. Bureau of Labor Statistics. Home Health and Personal Care Aides. Occupational Outlook Handbook; 2025 to 2035 projections.</w:t>
      </w:r>
    </w:p>
    <w:p>
      <w:pPr>
        <w:spacing w:after="80"/>
        <w:ind w:left="317" w:hanging="317"/>
        <w:jc w:val="left"/>
      </w:pPr>
      <w:r>
        <w:rPr>
          <w:b w:val="0"/>
          <w:i w:val="0"/>
        </w:rPr>
        <w:t>6. Activated Insights. 2025 Benchmarking Report for Home-Based Care; 2025. Median caregiver turnover 75.0% in 2024.</w:t>
      </w:r>
    </w:p>
    <w:p>
      <w:pPr>
        <w:spacing w:after="80"/>
        <w:ind w:left="317" w:hanging="317"/>
        <w:jc w:val="left"/>
      </w:pPr>
      <w:r>
        <w:rPr>
          <w:b w:val="0"/>
          <w:i w:val="0"/>
        </w:rPr>
        <w:t>7. Activated Insights. 2024 Benchmarking Report for Home-Based Care; 2024. 63.3% of providers turned down cases in 2023.</w:t>
      </w:r>
    </w:p>
    <w:p>
      <w:pPr>
        <w:spacing w:after="80"/>
        <w:ind w:left="317" w:hanging="317"/>
        <w:jc w:val="left"/>
      </w:pPr>
      <w:r>
        <w:rPr>
          <w:b w:val="0"/>
          <w:i w:val="0"/>
        </w:rPr>
        <w:t>8. KFF. Medicare Advantage in 2026: Enrollment Update and Key Trends; 2026.</w:t>
      </w:r>
    </w:p>
    <w:p>
      <w:pPr>
        <w:spacing w:after="80"/>
        <w:ind w:left="317" w:hanging="317"/>
        <w:jc w:val="left"/>
      </w:pPr>
      <w:r>
        <w:rPr>
          <w:b w:val="0"/>
          <w:i w:val="0"/>
        </w:rPr>
        <w:t>9. Centers for Medicare and Medicaid Services. 2026 Medicare ACO Initiatives Participation Highlights; 2026.</w:t>
      </w:r>
    </w:p>
    <w:p>
      <w:pPr>
        <w:spacing w:after="80"/>
        <w:ind w:left="317" w:hanging="317"/>
        <w:jc w:val="left"/>
      </w:pPr>
      <w:r>
        <w:rPr>
          <w:b w:val="0"/>
          <w:i w:val="0"/>
        </w:rPr>
        <w:t>10. Centers for Medicare and Medicaid Services. Guiding an Improved Dementia Experience (GUIDE) Model; 2024.</w:t>
      </w:r>
    </w:p>
    <w:p>
      <w:pPr>
        <w:spacing w:after="80"/>
        <w:ind w:left="317" w:hanging="317"/>
        <w:jc w:val="left"/>
      </w:pPr>
      <w:r>
        <w:rPr>
          <w:b w:val="0"/>
          <w:i w:val="0"/>
        </w:rPr>
        <w:t>11. Association of American Medical Colleges. U.S. Medical Schools Enroll Record Number of Students in 2025; 2025.</w:t>
      </w:r>
    </w:p>
    <w:p>
      <w:pPr>
        <w:spacing w:after="80"/>
        <w:ind w:left="317" w:hanging="317"/>
        <w:jc w:val="left"/>
      </w:pPr>
      <w:r>
        <w:rPr>
          <w:b w:val="0"/>
          <w:i w:val="0"/>
        </w:rPr>
        <w:t>12. American Association of Colleges of Nursing. NursingCAS Application Cycle Closes with Most Applicants to Date; 2026.</w:t>
      </w:r>
    </w:p>
    <w:p>
      <w:pPr>
        <w:spacing w:after="80"/>
        <w:ind w:left="317" w:hanging="317"/>
        <w:jc w:val="left"/>
      </w:pPr>
      <w:r>
        <w:rPr>
          <w:b w:val="0"/>
          <w:i w:val="0"/>
        </w:rPr>
        <w:t>13. Augusta and Home Care Association of America. National Caregiver Recruitment Benchmark Report, Q1 2026; 2026.</w:t>
      </w:r>
    </w:p>
    <w:p>
      <w:pPr>
        <w:spacing w:after="80"/>
        <w:ind w:left="317" w:hanging="317"/>
        <w:jc w:val="left"/>
      </w:pPr>
      <w:r>
        <w:rPr>
          <w:b w:val="0"/>
          <w:i w:val="0"/>
        </w:rPr>
        <w:t>14. Activated Insights. Caregiver Retention for Home-Based Care; recruiting and training cost up to approximately $2,700 per replacement.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