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w="10800" w:type="dxa"/>
        <w:tblLayout w:type="fixed"/>
      </w:tblPr>
      <w:tblGrid>
        <w:gridCol w:w="2376"/>
        <w:gridCol w:w="2916"/>
        <w:gridCol w:w="2700"/>
        <w:gridCol w:w="2808"/>
      </w:tblGrid>
      <w:tr>
        <w:tc>
          <w:tcPr>
            <w:tcW w:type="dxa" w:w="2376"/>
            <w:tcBorders>
              <w:bottom w:val="single" w:sz="8" w:space="0" w:color="14453F"/>
            </w:tcBorders>
          </w:tcPr>
          <w:p>
            <w:pPr>
              <w:keepNext/>
              <w:spacing w:before="30" w:after="30"/>
              <w:jc w:val="left"/>
            </w:pPr>
            <w:r/>
            <w:r>
              <w:rPr>
                <w:b/>
                <w:i w:val="0"/>
                <w:color w:val="14453F"/>
                <w:sz w:val="18"/>
              </w:rPr>
              <w:t>Workstream</w:t>
            </w:r>
          </w:p>
        </w:tc>
        <w:tc>
          <w:tcPr>
            <w:tcW w:type="dxa" w:w="2916"/>
            <w:tcBorders>
              <w:bottom w:val="single" w:sz="8" w:space="0" w:color="14453F"/>
            </w:tcBorders>
          </w:tcPr>
          <w:p>
            <w:pPr>
              <w:keepNext/>
              <w:spacing w:before="30" w:after="30"/>
              <w:jc w:val="left"/>
            </w:pPr>
            <w:r/>
            <w:r>
              <w:rPr>
                <w:b/>
                <w:i w:val="0"/>
                <w:color w:val="14453F"/>
                <w:sz w:val="18"/>
              </w:rPr>
              <w:t>CRP Y1</w:t>
            </w:r>
          </w:p>
        </w:tc>
        <w:tc>
          <w:tcPr>
            <w:tcW w:type="dxa" w:w="2700"/>
            <w:tcBorders>
              <w:bottom w:val="single" w:sz="8" w:space="0" w:color="14453F"/>
            </w:tcBorders>
          </w:tcPr>
          <w:p>
            <w:pPr>
              <w:keepNext/>
              <w:spacing w:before="30" w:after="30"/>
              <w:jc w:val="left"/>
            </w:pPr>
            <w:r/>
            <w:r>
              <w:rPr>
                <w:b/>
                <w:i w:val="0"/>
                <w:color w:val="14453F"/>
                <w:sz w:val="18"/>
              </w:rPr>
              <w:t>CRP Y2</w:t>
            </w:r>
          </w:p>
        </w:tc>
        <w:tc>
          <w:tcPr>
            <w:tcW w:type="dxa" w:w="2808"/>
            <w:tcBorders>
              <w:bottom w:val="single" w:sz="8" w:space="0" w:color="14453F"/>
            </w:tcBorders>
          </w:tcPr>
          <w:p>
            <w:pPr>
              <w:keepNext/>
              <w:spacing w:before="30" w:after="30"/>
              <w:jc w:val="left"/>
            </w:pPr>
            <w:r/>
            <w:r>
              <w:rPr>
                <w:b/>
                <w:i w:val="0"/>
                <w:color w:val="14453F"/>
                <w:sz w:val="18"/>
              </w:rPr>
              <w:t>CRP Y3</w:t>
            </w:r>
          </w:p>
        </w:tc>
      </w:tr>
      <w:tr>
        <w:tc>
          <w:tcPr>
            <w:tcW w:type="dxa" w:w="2376"/>
            <w:tcBorders>
              <w:bottom w:val="single" w:sz="2" w:space="0" w:color="B9C4BD"/>
            </w:tcBorders>
          </w:tcPr>
          <w:p>
            <w:pPr>
              <w:keepNext/>
              <w:spacing w:before="30" w:after="30"/>
              <w:jc w:val="left"/>
            </w:pPr>
            <w:r/>
            <w:r>
              <w:rPr>
                <w:b/>
                <w:i w:val="0"/>
                <w:color w:val="14453F"/>
                <w:sz w:val="18"/>
              </w:rPr>
              <w:t>Product and technical leadership</w:t>
            </w:r>
          </w:p>
        </w:tc>
        <w:tc>
          <w:tcPr>
            <w:tcW w:type="dxa" w:w="2916"/>
            <w:tcBorders>
              <w:bottom w:val="single" w:sz="2" w:space="0" w:color="B9C4BD"/>
            </w:tcBorders>
          </w:tcPr>
          <w:p>
            <w:pPr>
              <w:keepNext/>
              <w:spacing w:before="30" w:after="30"/>
              <w:jc w:val="left"/>
            </w:pPr>
            <w:r/>
            <w:r>
              <w:rPr>
                <w:b w:val="0"/>
                <w:i w:val="0"/>
                <w:sz w:val="18"/>
              </w:rPr>
              <w:t>Falohun</w:t>
            </w:r>
          </w:p>
        </w:tc>
        <w:tc>
          <w:tcPr>
            <w:tcW w:type="dxa" w:w="2700"/>
            <w:tcBorders>
              <w:bottom w:val="single" w:sz="2" w:space="0" w:color="B9C4BD"/>
            </w:tcBorders>
          </w:tcPr>
          <w:p>
            <w:pPr>
              <w:keepNext/>
              <w:spacing w:before="30" w:after="30"/>
              <w:jc w:val="left"/>
            </w:pPr>
            <w:r/>
            <w:r>
              <w:rPr>
                <w:b w:val="0"/>
                <w:i w:val="0"/>
                <w:sz w:val="18"/>
              </w:rPr>
              <w:t>Falohun</w:t>
            </w:r>
          </w:p>
        </w:tc>
        <w:tc>
          <w:tcPr>
            <w:tcW w:type="dxa" w:w="2808"/>
            <w:tcBorders>
              <w:bottom w:val="single" w:sz="2" w:space="0" w:color="B9C4BD"/>
            </w:tcBorders>
          </w:tcPr>
          <w:p>
            <w:pPr>
              <w:keepNext/>
              <w:spacing w:before="30" w:after="30"/>
              <w:jc w:val="left"/>
            </w:pPr>
            <w:r/>
            <w:r>
              <w:rPr>
                <w:b w:val="0"/>
                <w:i w:val="0"/>
                <w:sz w:val="18"/>
              </w:rPr>
              <w:t>Falohun</w:t>
            </w:r>
          </w:p>
        </w:tc>
      </w:tr>
      <w:tr>
        <w:tc>
          <w:tcPr>
            <w:tcW w:type="dxa" w:w="2376"/>
            <w:tcBorders>
              <w:bottom w:val="single" w:sz="2" w:space="0" w:color="B9C4BD"/>
            </w:tcBorders>
          </w:tcPr>
          <w:p>
            <w:pPr>
              <w:keepNext/>
              <w:spacing w:before="30" w:after="30"/>
              <w:jc w:val="left"/>
            </w:pPr>
            <w:r/>
            <w:r>
              <w:rPr>
                <w:b/>
                <w:i w:val="0"/>
                <w:color w:val="14453F"/>
                <w:sz w:val="18"/>
              </w:rPr>
              <w:t>Engineering</w:t>
            </w:r>
          </w:p>
        </w:tc>
        <w:tc>
          <w:tcPr>
            <w:tcW w:type="dxa" w:w="2916"/>
            <w:tcBorders>
              <w:bottom w:val="single" w:sz="2" w:space="0" w:color="B9C4BD"/>
            </w:tcBorders>
          </w:tcPr>
          <w:p>
            <w:pPr>
              <w:keepNext/>
              <w:spacing w:before="30" w:after="30"/>
              <w:jc w:val="left"/>
            </w:pPr>
            <w:r/>
            <w:r>
              <w:rPr>
                <w:b w:val="0"/>
                <w:i w:val="0"/>
                <w:sz w:val="18"/>
              </w:rPr>
              <w:t>Two full-time engineers and founder engineering</w:t>
            </w:r>
          </w:p>
        </w:tc>
        <w:tc>
          <w:tcPr>
            <w:tcW w:type="dxa" w:w="2700"/>
            <w:tcBorders>
              <w:bottom w:val="single" w:sz="2" w:space="0" w:color="B9C4BD"/>
            </w:tcBorders>
          </w:tcPr>
          <w:p>
            <w:pPr>
              <w:keepNext/>
              <w:spacing w:before="30" w:after="30"/>
              <w:jc w:val="left"/>
            </w:pPr>
            <w:r/>
            <w:r>
              <w:rPr>
                <w:b w:val="0"/>
                <w:i w:val="0"/>
                <w:sz w:val="18"/>
              </w:rPr>
              <w:t>Maintenance and refinement</w:t>
            </w:r>
          </w:p>
        </w:tc>
        <w:tc>
          <w:tcPr>
            <w:tcW w:type="dxa" w:w="2808"/>
            <w:tcBorders>
              <w:bottom w:val="single" w:sz="2" w:space="0" w:color="B9C4BD"/>
            </w:tcBorders>
          </w:tcPr>
          <w:p>
            <w:pPr>
              <w:keepNext/>
              <w:spacing w:before="30" w:after="30"/>
              <w:jc w:val="left"/>
            </w:pPr>
            <w:r/>
            <w:r>
              <w:rPr>
                <w:b w:val="0"/>
                <w:i w:val="0"/>
                <w:sz w:val="18"/>
              </w:rPr>
              <w:t>Commercial refinement</w:t>
            </w:r>
          </w:p>
        </w:tc>
      </w:tr>
      <w:tr>
        <w:tc>
          <w:tcPr>
            <w:tcW w:type="dxa" w:w="2376"/>
            <w:tcBorders>
              <w:bottom w:val="single" w:sz="2" w:space="0" w:color="B9C4BD"/>
            </w:tcBorders>
          </w:tcPr>
          <w:p>
            <w:pPr>
              <w:keepNext/>
              <w:spacing w:before="30" w:after="30"/>
              <w:jc w:val="left"/>
            </w:pPr>
            <w:r/>
            <w:r>
              <w:rPr>
                <w:b/>
                <w:i w:val="0"/>
                <w:color w:val="14453F"/>
                <w:sz w:val="18"/>
              </w:rPr>
              <w:t>Research integration</w:t>
            </w:r>
          </w:p>
        </w:tc>
        <w:tc>
          <w:tcPr>
            <w:tcW w:type="dxa" w:w="2916"/>
            <w:tcBorders>
              <w:bottom w:val="single" w:sz="2" w:space="0" w:color="B9C4BD"/>
            </w:tcBorders>
          </w:tcPr>
          <w:p>
            <w:pPr>
              <w:keepNext/>
              <w:spacing w:before="30" w:after="30"/>
              <w:jc w:val="left"/>
            </w:pPr>
            <w:r/>
            <w:r>
              <w:rPr>
                <w:b w:val="0"/>
                <w:i w:val="0"/>
                <w:sz w:val="18"/>
              </w:rPr>
              <w:t>DuBose</w:t>
            </w:r>
          </w:p>
        </w:tc>
        <w:tc>
          <w:tcPr>
            <w:tcW w:type="dxa" w:w="2700"/>
            <w:tcBorders>
              <w:bottom w:val="single" w:sz="2" w:space="0" w:color="B9C4BD"/>
            </w:tcBorders>
          </w:tcPr>
          <w:p>
            <w:pPr>
              <w:keepNext/>
              <w:spacing w:before="30" w:after="30"/>
              <w:jc w:val="left"/>
            </w:pPr>
            <w:r/>
            <w:r>
              <w:rPr>
                <w:b w:val="0"/>
                <w:i w:val="0"/>
                <w:sz w:val="18"/>
              </w:rPr>
              <w:t>DuBose</w:t>
            </w:r>
          </w:p>
        </w:tc>
        <w:tc>
          <w:tcPr>
            <w:tcW w:type="dxa" w:w="2808"/>
            <w:tcBorders>
              <w:bottom w:val="single" w:sz="2" w:space="0" w:color="B9C4BD"/>
            </w:tcBorders>
          </w:tcPr>
          <w:p>
            <w:pPr>
              <w:keepNext/>
              <w:spacing w:before="30" w:after="30"/>
              <w:jc w:val="left"/>
            </w:pPr>
            <w:r/>
            <w:r>
              <w:rPr>
                <w:b w:val="0"/>
                <w:i w:val="0"/>
                <w:sz w:val="18"/>
              </w:rPr>
              <w:t>DuBose</w:t>
            </w:r>
          </w:p>
        </w:tc>
      </w:tr>
      <w:tr>
        <w:tc>
          <w:tcPr>
            <w:tcW w:type="dxa" w:w="2376"/>
            <w:tcBorders>
              <w:bottom w:val="single" w:sz="2" w:space="0" w:color="B9C4BD"/>
            </w:tcBorders>
          </w:tcPr>
          <w:p>
            <w:pPr>
              <w:keepNext/>
              <w:spacing w:before="30" w:after="30"/>
              <w:jc w:val="left"/>
            </w:pPr>
            <w:r/>
            <w:r>
              <w:rPr>
                <w:b/>
                <w:i w:val="0"/>
                <w:color w:val="14453F"/>
                <w:sz w:val="18"/>
              </w:rPr>
              <w:t>Human subjects</w:t>
            </w:r>
          </w:p>
        </w:tc>
        <w:tc>
          <w:tcPr>
            <w:tcW w:type="dxa" w:w="2916"/>
            <w:tcBorders>
              <w:bottom w:val="single" w:sz="2" w:space="0" w:color="B9C4BD"/>
            </w:tcBorders>
          </w:tcPr>
          <w:p>
            <w:pPr>
              <w:keepNext/>
              <w:spacing w:before="30" w:after="30"/>
              <w:jc w:val="left"/>
            </w:pPr>
            <w:r/>
            <w:r>
              <w:rPr>
                <w:b w:val="0"/>
                <w:i w:val="0"/>
                <w:sz w:val="18"/>
              </w:rPr>
              <w:t>Clemson and Fan</w:t>
            </w:r>
          </w:p>
        </w:tc>
        <w:tc>
          <w:tcPr>
            <w:tcW w:type="dxa" w:w="2700"/>
            <w:tcBorders>
              <w:bottom w:val="single" w:sz="2" w:space="0" w:color="B9C4BD"/>
            </w:tcBorders>
          </w:tcPr>
          <w:p>
            <w:pPr>
              <w:keepNext/>
              <w:spacing w:before="30" w:after="30"/>
              <w:jc w:val="left"/>
            </w:pPr>
            <w:r/>
            <w:r>
              <w:rPr>
                <w:b w:val="0"/>
                <w:i w:val="0"/>
                <w:sz w:val="18"/>
              </w:rPr>
              <w:t>Clemson and Fan</w:t>
            </w:r>
          </w:p>
        </w:tc>
        <w:tc>
          <w:tcPr>
            <w:tcW w:type="dxa" w:w="2808"/>
            <w:tcBorders>
              <w:bottom w:val="single" w:sz="2" w:space="0" w:color="B9C4BD"/>
            </w:tcBorders>
          </w:tcPr>
          <w:p>
            <w:pPr>
              <w:keepNext/>
              <w:spacing w:before="30" w:after="30"/>
              <w:jc w:val="left"/>
            </w:pPr>
            <w:r/>
            <w:r>
              <w:rPr>
                <w:b w:val="0"/>
                <w:i w:val="0"/>
                <w:sz w:val="18"/>
              </w:rPr>
              <w:t>Analysis as needed</w:t>
            </w:r>
          </w:p>
        </w:tc>
      </w:tr>
      <w:tr>
        <w:tc>
          <w:tcPr>
            <w:tcW w:type="dxa" w:w="2376"/>
            <w:tcBorders>
              <w:bottom w:val="single" w:sz="2" w:space="0" w:color="B9C4BD"/>
            </w:tcBorders>
          </w:tcPr>
          <w:p>
            <w:pPr>
              <w:keepNext/>
              <w:spacing w:before="30" w:after="30"/>
              <w:jc w:val="left"/>
            </w:pPr>
            <w:r/>
            <w:r>
              <w:rPr>
                <w:b/>
                <w:i w:val="0"/>
                <w:color w:val="14453F"/>
                <w:sz w:val="18"/>
              </w:rPr>
              <w:t>Family and provider operations</w:t>
            </w:r>
          </w:p>
        </w:tc>
        <w:tc>
          <w:tcPr>
            <w:tcW w:type="dxa" w:w="2916"/>
            <w:tcBorders>
              <w:bottom w:val="single" w:sz="2" w:space="0" w:color="B9C4BD"/>
            </w:tcBorders>
          </w:tcPr>
          <w:p>
            <w:pPr>
              <w:keepNext/>
              <w:spacing w:before="30" w:after="30"/>
              <w:jc w:val="left"/>
            </w:pPr>
            <w:r/>
            <w:r>
              <w:rPr>
                <w:b w:val="0"/>
                <w:i w:val="0"/>
                <w:sz w:val="18"/>
              </w:rPr>
              <w:t>Two full-time existing staff</w:t>
            </w:r>
          </w:p>
        </w:tc>
        <w:tc>
          <w:tcPr>
            <w:tcW w:type="dxa" w:w="2700"/>
            <w:tcBorders>
              <w:bottom w:val="single" w:sz="2" w:space="0" w:color="B9C4BD"/>
            </w:tcBorders>
          </w:tcPr>
          <w:p>
            <w:pPr>
              <w:keepNext/>
              <w:spacing w:before="30" w:after="30"/>
              <w:jc w:val="left"/>
            </w:pPr>
            <w:r/>
            <w:r>
              <w:rPr>
                <w:b w:val="0"/>
                <w:i w:val="0"/>
                <w:sz w:val="18"/>
              </w:rPr>
              <w:t>Eight free markets</w:t>
            </w:r>
          </w:p>
        </w:tc>
        <w:tc>
          <w:tcPr>
            <w:tcW w:type="dxa" w:w="2808"/>
            <w:tcBorders>
              <w:bottom w:val="single" w:sz="2" w:space="0" w:color="B9C4BD"/>
            </w:tcBorders>
          </w:tcPr>
          <w:p>
            <w:pPr>
              <w:keepNext/>
              <w:spacing w:before="30" w:after="30"/>
              <w:jc w:val="left"/>
            </w:pPr>
            <w:r/>
            <w:r>
              <w:rPr>
                <w:b w:val="0"/>
                <w:i w:val="0"/>
                <w:sz w:val="18"/>
              </w:rPr>
              <w:t>Eight paid markets</w:t>
            </w:r>
          </w:p>
        </w:tc>
      </w:tr>
      <w:tr>
        <w:tc>
          <w:tcPr>
            <w:tcW w:type="dxa" w:w="2376"/>
            <w:tcBorders>
              <w:bottom w:val="single" w:sz="2" w:space="0" w:color="B9C4BD"/>
            </w:tcBorders>
          </w:tcPr>
          <w:p>
            <w:pPr>
              <w:keepNext/>
              <w:spacing w:before="30" w:after="30"/>
              <w:jc w:val="left"/>
            </w:pPr>
            <w:r/>
            <w:r>
              <w:rPr>
                <w:b/>
                <w:i w:val="0"/>
                <w:color w:val="14453F"/>
                <w:sz w:val="18"/>
              </w:rPr>
              <w:t>Market operations lead</w:t>
            </w:r>
          </w:p>
        </w:tc>
        <w:tc>
          <w:tcPr>
            <w:tcW w:type="dxa" w:w="2916"/>
            <w:tcBorders>
              <w:bottom w:val="single" w:sz="2" w:space="0" w:color="B9C4BD"/>
            </w:tcBorders>
          </w:tcPr>
          <w:p>
            <w:pPr>
              <w:keepNext/>
              <w:spacing w:before="30" w:after="30"/>
              <w:jc w:val="left"/>
            </w:pPr>
            <w:r/>
            <w:r>
              <w:rPr>
                <w:b w:val="0"/>
                <w:i w:val="0"/>
                <w:sz w:val="18"/>
              </w:rPr>
              <w:t>Training and playbook design</w:t>
            </w:r>
          </w:p>
        </w:tc>
        <w:tc>
          <w:tcPr>
            <w:tcW w:type="dxa" w:w="2700"/>
            <w:tcBorders>
              <w:bottom w:val="single" w:sz="2" w:space="0" w:color="B9C4BD"/>
            </w:tcBorders>
          </w:tcPr>
          <w:p>
            <w:pPr>
              <w:keepNext/>
              <w:spacing w:before="30" w:after="30"/>
              <w:jc w:val="left"/>
            </w:pPr>
            <w:r/>
            <w:r>
              <w:rPr>
                <w:b w:val="0"/>
                <w:i w:val="0"/>
                <w:sz w:val="18"/>
              </w:rPr>
              <w:t>Runs validation activation</w:t>
            </w:r>
          </w:p>
        </w:tc>
        <w:tc>
          <w:tcPr>
            <w:tcW w:type="dxa" w:w="2808"/>
            <w:tcBorders>
              <w:bottom w:val="single" w:sz="2" w:space="0" w:color="B9C4BD"/>
            </w:tcBorders>
          </w:tcPr>
          <w:p>
            <w:pPr>
              <w:keepNext/>
              <w:spacing w:before="30" w:after="30"/>
              <w:jc w:val="left"/>
            </w:pPr>
            <w:r/>
            <w:r>
              <w:rPr>
                <w:b w:val="0"/>
                <w:i w:val="0"/>
                <w:sz w:val="18"/>
              </w:rPr>
              <w:t>Executes new-market replication</w:t>
            </w:r>
          </w:p>
        </w:tc>
      </w:tr>
      <w:tr>
        <w:tc>
          <w:tcPr>
            <w:tcW w:type="dxa" w:w="2376"/>
            <w:tcBorders>
              <w:bottom w:val="single" w:sz="2" w:space="0" w:color="B9C4BD"/>
            </w:tcBorders>
          </w:tcPr>
          <w:p>
            <w:pPr>
              <w:keepNext/>
              <w:spacing w:before="30" w:after="30"/>
              <w:jc w:val="left"/>
            </w:pPr>
            <w:r/>
            <w:r>
              <w:rPr>
                <w:b/>
                <w:i w:val="0"/>
                <w:color w:val="14453F"/>
                <w:sz w:val="18"/>
              </w:rPr>
              <w:t>Commercialization</w:t>
            </w:r>
          </w:p>
        </w:tc>
        <w:tc>
          <w:tcPr>
            <w:tcW w:type="dxa" w:w="2916"/>
            <w:tcBorders>
              <w:bottom w:val="single" w:sz="2" w:space="0" w:color="B9C4BD"/>
            </w:tcBorders>
          </w:tcPr>
          <w:p>
            <w:pPr>
              <w:keepNext/>
              <w:spacing w:before="30" w:after="30"/>
              <w:jc w:val="left"/>
            </w:pPr>
            <w:r/>
            <w:r>
              <w:rPr>
                <w:b w:val="0"/>
                <w:i w:val="0"/>
                <w:sz w:val="18"/>
              </w:rPr>
              <w:t>Offer preparation</w:t>
            </w:r>
          </w:p>
        </w:tc>
        <w:tc>
          <w:tcPr>
            <w:tcW w:type="dxa" w:w="2700"/>
            <w:tcBorders>
              <w:bottom w:val="single" w:sz="2" w:space="0" w:color="B9C4BD"/>
            </w:tcBorders>
          </w:tcPr>
          <w:p>
            <w:pPr>
              <w:keepNext/>
              <w:spacing w:before="30" w:after="30"/>
              <w:jc w:val="left"/>
            </w:pPr>
            <w:r/>
            <w:r>
              <w:rPr>
                <w:b w:val="0"/>
                <w:i w:val="0"/>
                <w:sz w:val="18"/>
              </w:rPr>
              <w:t>Willingness to pay and investor cultivation</w:t>
            </w:r>
          </w:p>
        </w:tc>
        <w:tc>
          <w:tcPr>
            <w:tcW w:type="dxa" w:w="2808"/>
            <w:tcBorders>
              <w:bottom w:val="single" w:sz="2" w:space="0" w:color="B9C4BD"/>
            </w:tcBorders>
          </w:tcPr>
          <w:p>
            <w:pPr>
              <w:keepNext/>
              <w:spacing w:before="30" w:after="30"/>
              <w:jc w:val="left"/>
            </w:pPr>
            <w:r/>
            <w:r>
              <w:rPr>
                <w:b w:val="0"/>
                <w:i w:val="0"/>
                <w:sz w:val="18"/>
              </w:rPr>
              <w:t>Paid sales and financing</w:t>
            </w:r>
          </w:p>
        </w:tc>
      </w:tr>
      <w:tr>
        <w:tc>
          <w:tcPr>
            <w:tcW w:type="dxa" w:w="2376"/>
            <w:tcBorders>
              <w:bottom w:val="single" w:sz="8" w:space="0" w:color="14453F"/>
            </w:tcBorders>
          </w:tcPr>
          <w:p>
            <w:pPr>
              <w:spacing w:before="30" w:after="30"/>
              <w:jc w:val="left"/>
            </w:pPr>
            <w:r/>
            <w:r>
              <w:rPr>
                <w:b/>
                <w:i w:val="0"/>
                <w:color w:val="14453F"/>
                <w:sz w:val="18"/>
              </w:rPr>
              <w:t>Independent validation</w:t>
            </w:r>
          </w:p>
        </w:tc>
        <w:tc>
          <w:tcPr>
            <w:tcW w:type="dxa" w:w="2916"/>
            <w:tcBorders>
              <w:bottom w:val="single" w:sz="8" w:space="0" w:color="14453F"/>
            </w:tcBorders>
          </w:tcPr>
          <w:p>
            <w:pPr>
              <w:spacing w:before="30" w:after="30"/>
              <w:jc w:val="left"/>
            </w:pPr>
            <w:r/>
            <w:r>
              <w:rPr>
                <w:b w:val="0"/>
                <w:i w:val="0"/>
                <w:sz w:val="18"/>
              </w:rPr>
              <w:t>Technical and statistical, as specified</w:t>
            </w:r>
          </w:p>
        </w:tc>
        <w:tc>
          <w:tcPr>
            <w:tcW w:type="dxa" w:w="2700"/>
            <w:tcBorders>
              <w:bottom w:val="single" w:sz="8" w:space="0" w:color="14453F"/>
            </w:tcBorders>
          </w:tcPr>
          <w:p>
            <w:pPr>
              <w:spacing w:before="30" w:after="30"/>
              <w:jc w:val="left"/>
            </w:pPr>
            <w:r/>
            <w:r>
              <w:rPr>
                <w:b w:val="0"/>
                <w:i w:val="0"/>
                <w:sz w:val="18"/>
              </w:rPr>
              <w:t>Statistical</w:t>
            </w:r>
          </w:p>
        </w:tc>
        <w:tc>
          <w:tcPr>
            <w:tcW w:type="dxa" w:w="2808"/>
            <w:tcBorders>
              <w:bottom w:val="single" w:sz="8" w:space="0" w:color="14453F"/>
            </w:tcBorders>
          </w:tcPr>
          <w:p>
            <w:pPr>
              <w:spacing w:before="30" w:after="30"/>
              <w:jc w:val="left"/>
            </w:pPr>
            <w:r/>
            <w:r>
              <w:rPr>
                <w:b w:val="0"/>
                <w:i w:val="0"/>
                <w:sz w:val="18"/>
              </w:rPr>
              <w:t>CPA and economic</w:t>
            </w:r>
          </w:p>
        </w:tc>
      </w:tr>
    </w:tbl>
    <w:p>
      <w:pPr>
        <w:spacing w:before="40" w:after="120"/>
        <w:jc w:val="left"/>
      </w:pPr>
      <w:r>
        <w:rPr>
          <w:b/>
          <w:i w:val="0"/>
          <w:sz w:val="18"/>
        </w:rPr>
        <w:t>Table 4.</w:t>
      </w:r>
      <w:r>
        <w:rPr>
          <w:b w:val="0"/>
          <w:i w:val="0"/>
          <w:sz w:val="18"/>
        </w:rPr>
        <w:t xml:space="preserve"> Who carries each workstream in each award year, and how the staffing shifts as the work moves from engineering to validation to paid markets.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240" w:lineRule="auto"/>
      <w:jc w:val="both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