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both"/>
      </w:pPr>
      <w:r>
        <w:rPr>
          <w:b/>
          <w:i w:val="0"/>
        </w:rPr>
        <w:t>Competitive environment and our advantage.</w:t>
      </w:r>
      <w:r>
        <w:rPr>
          <w:b w:val="0"/>
          <w:i w:val="0"/>
        </w:rPr>
        <w:t xml:space="preserve"> The competitive environment mirrors the fragmented care-establishment pathway described above. Existing human and technology-enabled alternatives address individual steps or substantial portions of it, but generally operate through separate services, handoffs, and business models (Table 2). That fragmentation matters because responsibility can return to families between services, creating opportunities for care to fall through before it is established and feed the same vicious cycle.</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CellMar>
          <w:top w:w="0" w:type="dxa"/>
          <w:left w:w="40" w:type="dxa"/>
          <w:bottom w:w="0" w:type="dxa"/>
          <w:right w:w="40" w:type="dxa"/>
        </w:tblCellMar>
      </w:tblPr>
      <w:tblGrid>
        <w:gridCol w:w="1782"/>
        <w:gridCol w:w="2408"/>
        <w:gridCol w:w="756"/>
        <w:gridCol w:w="626"/>
        <w:gridCol w:w="626"/>
        <w:gridCol w:w="821"/>
        <w:gridCol w:w="929"/>
        <w:gridCol w:w="1296"/>
        <w:gridCol w:w="1555"/>
      </w:tblGrid>
      <w:tr>
        <w:tc>
          <w:tcPr>
            <w:tcW w:type="dxa" w:w="1782"/>
            <w:tcBorders>
              <w:bottom w:val="single" w:sz="8" w:space="0" w:color="14453F"/>
            </w:tcBorders>
          </w:tcPr>
          <w:p>
            <w:pPr>
              <w:keepNext/>
              <w:spacing w:before="30" w:after="30"/>
              <w:jc w:val="left"/>
            </w:pPr>
            <w:r/>
            <w:r>
              <w:rPr>
                <w:b/>
                <w:i w:val="0"/>
                <w:color w:val="14453F"/>
                <w:sz w:val="18"/>
              </w:rPr>
              <w:t>Competitive category</w:t>
            </w:r>
          </w:p>
        </w:tc>
        <w:tc>
          <w:tcPr>
            <w:tcW w:type="dxa" w:w="2408"/>
            <w:tcBorders>
              <w:bottom w:val="single" w:sz="8" w:space="0" w:color="14453F"/>
            </w:tcBorders>
          </w:tcPr>
          <w:p>
            <w:pPr>
              <w:keepNext/>
              <w:spacing w:before="30" w:after="30"/>
              <w:jc w:val="left"/>
            </w:pPr>
            <w:r/>
            <w:r>
              <w:rPr>
                <w:b/>
                <w:i w:val="0"/>
                <w:color w:val="14453F"/>
                <w:sz w:val="18"/>
              </w:rPr>
              <w:t>Representative examples</w:t>
            </w:r>
          </w:p>
        </w:tc>
        <w:tc>
          <w:tcPr>
            <w:tcW w:type="dxa" w:w="756"/>
            <w:tcBorders>
              <w:bottom w:val="single" w:sz="8" w:space="0" w:color="14453F"/>
            </w:tcBorders>
          </w:tcPr>
          <w:p>
            <w:pPr>
              <w:keepNext/>
              <w:spacing w:before="30" w:after="30"/>
              <w:jc w:val="center"/>
            </w:pPr>
            <w:r/>
            <w:r>
              <w:rPr>
                <w:b/>
                <w:i w:val="0"/>
                <w:color w:val="14453F"/>
                <w:sz w:val="18"/>
              </w:rPr>
              <w:t>Assess</w:t>
            </w:r>
          </w:p>
        </w:tc>
        <w:tc>
          <w:tcPr>
            <w:tcW w:type="dxa" w:w="626"/>
            <w:tcBorders>
              <w:bottom w:val="single" w:sz="8" w:space="0" w:color="14453F"/>
            </w:tcBorders>
          </w:tcPr>
          <w:p>
            <w:pPr>
              <w:keepNext/>
              <w:spacing w:before="30" w:after="30"/>
              <w:jc w:val="center"/>
            </w:pPr>
            <w:r/>
            <w:r>
              <w:rPr>
                <w:b/>
                <w:i w:val="0"/>
                <w:color w:val="14453F"/>
                <w:sz w:val="18"/>
              </w:rPr>
              <w:t>Find</w:t>
            </w:r>
          </w:p>
        </w:tc>
        <w:tc>
          <w:tcPr>
            <w:tcW w:type="dxa" w:w="626"/>
            <w:tcBorders>
              <w:bottom w:val="single" w:sz="8" w:space="0" w:color="14453F"/>
            </w:tcBorders>
          </w:tcPr>
          <w:p>
            <w:pPr>
              <w:keepNext/>
              <w:spacing w:before="30" w:after="30"/>
              <w:jc w:val="center"/>
            </w:pPr>
            <w:r/>
            <w:r>
              <w:rPr>
                <w:b/>
                <w:i w:val="0"/>
                <w:color w:val="14453F"/>
                <w:sz w:val="18"/>
              </w:rPr>
              <w:t>Fund</w:t>
            </w:r>
          </w:p>
        </w:tc>
        <w:tc>
          <w:tcPr>
            <w:tcW w:type="dxa" w:w="821"/>
            <w:tcBorders>
              <w:bottom w:val="single" w:sz="8" w:space="0" w:color="14453F"/>
            </w:tcBorders>
          </w:tcPr>
          <w:p>
            <w:pPr>
              <w:keepNext/>
              <w:spacing w:before="30" w:after="30"/>
              <w:jc w:val="center"/>
            </w:pPr>
            <w:r/>
            <w:r>
              <w:rPr>
                <w:b/>
                <w:i w:val="0"/>
                <w:color w:val="14453F"/>
                <w:sz w:val="18"/>
              </w:rPr>
              <w:t>Execute</w:t>
            </w:r>
          </w:p>
        </w:tc>
        <w:tc>
          <w:tcPr>
            <w:tcW w:type="dxa" w:w="929"/>
            <w:tcBorders>
              <w:bottom w:val="single" w:sz="8" w:space="0" w:color="14453F"/>
            </w:tcBorders>
          </w:tcPr>
          <w:p>
            <w:pPr>
              <w:keepNext/>
              <w:spacing w:before="30" w:after="30"/>
              <w:jc w:val="center"/>
            </w:pPr>
            <w:r/>
            <w:r>
              <w:rPr>
                <w:b/>
                <w:i w:val="0"/>
                <w:color w:val="14453F"/>
                <w:sz w:val="18"/>
              </w:rPr>
              <w:t>Establish</w:t>
            </w:r>
          </w:p>
        </w:tc>
        <w:tc>
          <w:tcPr>
            <w:tcW w:type="dxa" w:w="1296"/>
            <w:tcBorders>
              <w:bottom w:val="single" w:sz="8" w:space="0" w:color="14453F"/>
            </w:tcBorders>
          </w:tcPr>
          <w:p>
            <w:pPr>
              <w:keepNext/>
              <w:spacing w:before="30" w:after="30"/>
              <w:jc w:val="center"/>
            </w:pPr>
            <w:r/>
            <w:r>
              <w:rPr>
                <w:b/>
                <w:i w:val="0"/>
                <w:color w:val="14453F"/>
                <w:sz w:val="18"/>
              </w:rPr>
              <w:t>New workforce</w:t>
            </w:r>
          </w:p>
        </w:tc>
        <w:tc>
          <w:tcPr>
            <w:tcW w:type="dxa" w:w="1555"/>
            <w:tcBorders>
              <w:bottom w:val="single" w:sz="8" w:space="0" w:color="14453F"/>
            </w:tcBorders>
          </w:tcPr>
          <w:p>
            <w:pPr>
              <w:keepNext/>
              <w:spacing w:before="30" w:after="30"/>
              <w:jc w:val="center"/>
            </w:pPr>
            <w:r/>
            <w:r>
              <w:rPr>
                <w:b/>
                <w:i w:val="0"/>
                <w:color w:val="14453F"/>
                <w:sz w:val="18"/>
              </w:rPr>
              <w:t>Open access</w:t>
            </w:r>
          </w:p>
        </w:tc>
      </w:tr>
      <w:tr>
        <w:tc>
          <w:tcPr>
            <w:tcW w:type="dxa" w:w="1782"/>
            <w:tcBorders>
              <w:bottom w:val="single" w:sz="2" w:space="0" w:color="B9C4BD"/>
            </w:tcBorders>
          </w:tcPr>
          <w:p>
            <w:pPr>
              <w:keepNext/>
              <w:spacing w:before="30" w:after="30"/>
              <w:jc w:val="left"/>
            </w:pPr>
            <w:r/>
            <w:r>
              <w:rPr>
                <w:b/>
                <w:i w:val="0"/>
                <w:color w:val="14453F"/>
                <w:sz w:val="18"/>
              </w:rPr>
              <w:t>Public information and benefits</w:t>
            </w:r>
          </w:p>
        </w:tc>
        <w:tc>
          <w:tcPr>
            <w:tcW w:type="dxa" w:w="2408"/>
            <w:tcBorders>
              <w:bottom w:val="single" w:sz="2" w:space="0" w:color="B9C4BD"/>
            </w:tcBorders>
          </w:tcPr>
          <w:p>
            <w:pPr>
              <w:keepNext/>
              <w:spacing w:before="30" w:after="30"/>
              <w:jc w:val="left"/>
            </w:pPr>
            <w:r/>
            <w:r>
              <w:rPr>
                <w:b w:val="0"/>
                <w:i w:val="0"/>
                <w:sz w:val="18"/>
              </w:rPr>
              <w:t>Eldercare Locator; BenefitsCheckUp</w:t>
            </w:r>
          </w:p>
        </w:tc>
        <w:tc>
          <w:tcPr>
            <w:tcW w:type="dxa" w:w="756"/>
            <w:tcBorders>
              <w:bottom w:val="single" w:sz="2" w:space="0" w:color="B9C4BD"/>
            </w:tcBorders>
          </w:tcPr>
          <w:p>
            <w:pPr>
              <w:keepNext/>
              <w:spacing w:before="30" w:after="30"/>
              <w:jc w:val="center"/>
            </w:pPr>
            <w:r/>
            <w:r>
              <w:rPr>
                <w:b w:val="0"/>
                <w:i w:val="0"/>
                <w:sz w:val="18"/>
              </w:rPr>
              <w:t>•</w:t>
            </w:r>
          </w:p>
        </w:tc>
        <w:tc>
          <w:tcPr>
            <w:tcW w:type="dxa" w:w="626"/>
            <w:tcBorders>
              <w:bottom w:val="single" w:sz="2" w:space="0" w:color="B9C4BD"/>
            </w:tcBorders>
          </w:tcPr>
          <w:p>
            <w:pPr>
              <w:keepNext/>
              <w:spacing w:before="30" w:after="30"/>
              <w:jc w:val="center"/>
            </w:pPr>
            <w:r/>
            <w:r>
              <w:rPr>
                <w:b w:val="0"/>
                <w:i w:val="0"/>
                <w:sz w:val="18"/>
              </w:rPr>
              <w:t>●</w:t>
            </w:r>
          </w:p>
        </w:tc>
        <w:tc>
          <w:tcPr>
            <w:tcW w:type="dxa" w:w="626"/>
            <w:tcBorders>
              <w:bottom w:val="single" w:sz="2" w:space="0" w:color="B9C4BD"/>
            </w:tcBorders>
          </w:tcPr>
          <w:p>
            <w:pPr>
              <w:keepNext/>
              <w:spacing w:before="30" w:after="30"/>
              <w:jc w:val="center"/>
            </w:pPr>
            <w:r/>
            <w:r>
              <w:rPr>
                <w:b w:val="0"/>
                <w:i w:val="0"/>
                <w:sz w:val="18"/>
              </w:rPr>
              <w:t>●</w:t>
            </w:r>
          </w:p>
        </w:tc>
        <w:tc>
          <w:tcPr>
            <w:tcW w:type="dxa" w:w="821"/>
            <w:tcBorders>
              <w:bottom w:val="single" w:sz="2" w:space="0" w:color="B9C4BD"/>
            </w:tcBorders>
          </w:tcPr>
          <w:p>
            <w:pPr>
              <w:keepNext/>
              <w:spacing w:before="30" w:after="30"/>
              <w:jc w:val="center"/>
            </w:pPr>
            <w:r/>
            <w:r>
              <w:rPr>
                <w:b w:val="0"/>
                <w:i w:val="0"/>
                <w:sz w:val="18"/>
              </w:rPr>
              <w:t>•</w:t>
            </w:r>
          </w:p>
        </w:tc>
        <w:tc>
          <w:tcPr>
            <w:tcW w:type="dxa" w:w="929"/>
            <w:tcBorders>
              <w:bottom w:val="single" w:sz="2" w:space="0" w:color="B9C4BD"/>
            </w:tcBorders>
          </w:tcPr>
          <w:p>
            <w:pPr>
              <w:keepNext/>
              <w:spacing w:before="30" w:after="30"/>
              <w:jc w:val="center"/>
            </w:pPr>
            <w:r/>
            <w:r>
              <w:rPr>
                <w:b w:val="0"/>
                <w:i w:val="0"/>
                <w:sz w:val="18"/>
              </w:rPr>
              <w:t>○</w:t>
            </w:r>
          </w:p>
        </w:tc>
        <w:tc>
          <w:tcPr>
            <w:tcW w:type="dxa" w:w="1296"/>
            <w:tcBorders>
              <w:bottom w:val="single" w:sz="2" w:space="0" w:color="B9C4BD"/>
            </w:tcBorders>
          </w:tcPr>
          <w:p>
            <w:pPr>
              <w:keepNext/>
              <w:spacing w:before="30" w:after="30"/>
              <w:jc w:val="center"/>
            </w:pPr>
            <w:r/>
            <w:r>
              <w:rPr>
                <w:b w:val="0"/>
                <w:i w:val="0"/>
                <w:sz w:val="18"/>
              </w:rPr>
              <w:t>○</w:t>
            </w:r>
          </w:p>
        </w:tc>
        <w:tc>
          <w:tcPr>
            <w:tcW w:type="dxa" w:w="1555"/>
            <w:tcBorders>
              <w:bottom w:val="single" w:sz="2" w:space="0" w:color="B9C4BD"/>
            </w:tcBorders>
          </w:tcPr>
          <w:p>
            <w:pPr>
              <w:keepNext/>
              <w:spacing w:before="30" w:after="30"/>
              <w:jc w:val="center"/>
            </w:pPr>
            <w:r/>
            <w:r>
              <w:rPr>
                <w:b w:val="0"/>
                <w:i w:val="0"/>
                <w:sz w:val="18"/>
              </w:rPr>
              <w:t>●</w:t>
            </w:r>
          </w:p>
        </w:tc>
      </w:tr>
      <w:tr>
        <w:tc>
          <w:tcPr>
            <w:tcW w:type="dxa" w:w="1782"/>
            <w:tcBorders>
              <w:bottom w:val="single" w:sz="2" w:space="0" w:color="B9C4BD"/>
            </w:tcBorders>
          </w:tcPr>
          <w:p>
            <w:pPr>
              <w:keepNext/>
              <w:spacing w:before="30" w:after="30"/>
              <w:jc w:val="left"/>
            </w:pPr>
            <w:r/>
            <w:r>
              <w:rPr>
                <w:b/>
                <w:i w:val="0"/>
                <w:color w:val="14453F"/>
                <w:sz w:val="18"/>
              </w:rPr>
              <w:t>General-purpose AI</w:t>
            </w:r>
          </w:p>
        </w:tc>
        <w:tc>
          <w:tcPr>
            <w:tcW w:type="dxa" w:w="2408"/>
            <w:tcBorders>
              <w:bottom w:val="single" w:sz="2" w:space="0" w:color="B9C4BD"/>
            </w:tcBorders>
          </w:tcPr>
          <w:p>
            <w:pPr>
              <w:keepNext/>
              <w:spacing w:before="30" w:after="30"/>
              <w:jc w:val="left"/>
            </w:pPr>
            <w:r/>
            <w:r>
              <w:rPr>
                <w:b w:val="0"/>
                <w:i w:val="0"/>
                <w:sz w:val="18"/>
              </w:rPr>
              <w:t>ChatGPT; Claude; Gemini</w:t>
            </w:r>
          </w:p>
        </w:tc>
        <w:tc>
          <w:tcPr>
            <w:tcW w:type="dxa" w:w="756"/>
            <w:tcBorders>
              <w:bottom w:val="single" w:sz="2" w:space="0" w:color="B9C4BD"/>
            </w:tcBorders>
          </w:tcPr>
          <w:p>
            <w:pPr>
              <w:keepNext/>
              <w:spacing w:before="30" w:after="30"/>
              <w:jc w:val="center"/>
            </w:pPr>
            <w:r/>
            <w:r>
              <w:rPr>
                <w:b w:val="0"/>
                <w:i w:val="0"/>
                <w:sz w:val="18"/>
              </w:rPr>
              <w:t>●</w:t>
            </w:r>
          </w:p>
        </w:tc>
        <w:tc>
          <w:tcPr>
            <w:tcW w:type="dxa" w:w="626"/>
            <w:tcBorders>
              <w:bottom w:val="single" w:sz="2" w:space="0" w:color="B9C4BD"/>
            </w:tcBorders>
          </w:tcPr>
          <w:p>
            <w:pPr>
              <w:keepNext/>
              <w:spacing w:before="30" w:after="30"/>
              <w:jc w:val="center"/>
            </w:pPr>
            <w:r/>
            <w:r>
              <w:rPr>
                <w:b w:val="0"/>
                <w:i w:val="0"/>
                <w:sz w:val="18"/>
              </w:rPr>
              <w:t>●</w:t>
            </w:r>
          </w:p>
        </w:tc>
        <w:tc>
          <w:tcPr>
            <w:tcW w:type="dxa" w:w="626"/>
            <w:tcBorders>
              <w:bottom w:val="single" w:sz="2" w:space="0" w:color="B9C4BD"/>
            </w:tcBorders>
          </w:tcPr>
          <w:p>
            <w:pPr>
              <w:keepNext/>
              <w:spacing w:before="30" w:after="30"/>
              <w:jc w:val="center"/>
            </w:pPr>
            <w:r/>
            <w:r>
              <w:rPr>
                <w:b w:val="0"/>
                <w:i w:val="0"/>
                <w:sz w:val="18"/>
              </w:rPr>
              <w:t>●</w:t>
            </w:r>
          </w:p>
        </w:tc>
        <w:tc>
          <w:tcPr>
            <w:tcW w:type="dxa" w:w="821"/>
            <w:tcBorders>
              <w:bottom w:val="single" w:sz="2" w:space="0" w:color="B9C4BD"/>
            </w:tcBorders>
          </w:tcPr>
          <w:p>
            <w:pPr>
              <w:keepNext/>
              <w:spacing w:before="30" w:after="30"/>
              <w:jc w:val="center"/>
            </w:pPr>
            <w:r/>
            <w:r>
              <w:rPr>
                <w:b w:val="0"/>
                <w:i w:val="0"/>
                <w:sz w:val="18"/>
              </w:rPr>
              <w:t>•</w:t>
            </w:r>
          </w:p>
        </w:tc>
        <w:tc>
          <w:tcPr>
            <w:tcW w:type="dxa" w:w="929"/>
            <w:tcBorders>
              <w:bottom w:val="single" w:sz="2" w:space="0" w:color="B9C4BD"/>
            </w:tcBorders>
          </w:tcPr>
          <w:p>
            <w:pPr>
              <w:keepNext/>
              <w:spacing w:before="30" w:after="30"/>
              <w:jc w:val="center"/>
            </w:pPr>
            <w:r/>
            <w:r>
              <w:rPr>
                <w:b w:val="0"/>
                <w:i w:val="0"/>
                <w:sz w:val="18"/>
              </w:rPr>
              <w:t>○</w:t>
            </w:r>
          </w:p>
        </w:tc>
        <w:tc>
          <w:tcPr>
            <w:tcW w:type="dxa" w:w="1296"/>
            <w:tcBorders>
              <w:bottom w:val="single" w:sz="2" w:space="0" w:color="B9C4BD"/>
            </w:tcBorders>
          </w:tcPr>
          <w:p>
            <w:pPr>
              <w:keepNext/>
              <w:spacing w:before="30" w:after="30"/>
              <w:jc w:val="center"/>
            </w:pPr>
            <w:r/>
            <w:r>
              <w:rPr>
                <w:b w:val="0"/>
                <w:i w:val="0"/>
                <w:sz w:val="18"/>
              </w:rPr>
              <w:t>○</w:t>
            </w:r>
          </w:p>
        </w:tc>
        <w:tc>
          <w:tcPr>
            <w:tcW w:type="dxa" w:w="1555"/>
            <w:tcBorders>
              <w:bottom w:val="single" w:sz="2" w:space="0" w:color="B9C4BD"/>
            </w:tcBorders>
          </w:tcPr>
          <w:p>
            <w:pPr>
              <w:keepNext/>
              <w:spacing w:before="30" w:after="30"/>
              <w:jc w:val="center"/>
            </w:pPr>
            <w:r/>
            <w:r>
              <w:rPr>
                <w:b w:val="0"/>
                <w:i w:val="0"/>
                <w:sz w:val="18"/>
              </w:rPr>
              <w:t>●</w:t>
            </w:r>
          </w:p>
        </w:tc>
      </w:tr>
      <w:tr>
        <w:tc>
          <w:tcPr>
            <w:tcW w:type="dxa" w:w="1782"/>
            <w:tcBorders>
              <w:bottom w:val="single" w:sz="2" w:space="0" w:color="B9C4BD"/>
            </w:tcBorders>
          </w:tcPr>
          <w:p>
            <w:pPr>
              <w:keepNext/>
              <w:spacing w:before="30" w:after="30"/>
              <w:jc w:val="left"/>
            </w:pPr>
            <w:r/>
            <w:r>
              <w:rPr>
                <w:b/>
                <w:i w:val="0"/>
                <w:color w:val="14453F"/>
                <w:sz w:val="18"/>
              </w:rPr>
              <w:t>Human navigation</w:t>
            </w:r>
          </w:p>
        </w:tc>
        <w:tc>
          <w:tcPr>
            <w:tcW w:type="dxa" w:w="2408"/>
            <w:tcBorders>
              <w:bottom w:val="single" w:sz="2" w:space="0" w:color="B9C4BD"/>
            </w:tcBorders>
          </w:tcPr>
          <w:p>
            <w:pPr>
              <w:keepNext/>
              <w:spacing w:before="30" w:after="30"/>
              <w:jc w:val="left"/>
            </w:pPr>
            <w:r/>
            <w:r>
              <w:rPr>
                <w:b w:val="0"/>
                <w:i w:val="0"/>
                <w:sz w:val="18"/>
              </w:rPr>
              <w:t>Discharge planners; case managers; private care managers</w:t>
            </w:r>
          </w:p>
        </w:tc>
        <w:tc>
          <w:tcPr>
            <w:tcW w:type="dxa" w:w="756"/>
            <w:tcBorders>
              <w:bottom w:val="single" w:sz="2" w:space="0" w:color="B9C4BD"/>
            </w:tcBorders>
          </w:tcPr>
          <w:p>
            <w:pPr>
              <w:keepNext/>
              <w:spacing w:before="30" w:after="30"/>
              <w:jc w:val="center"/>
            </w:pPr>
            <w:r/>
            <w:r>
              <w:rPr>
                <w:b w:val="0"/>
                <w:i w:val="0"/>
                <w:sz w:val="18"/>
              </w:rPr>
              <w:t>●</w:t>
            </w:r>
          </w:p>
        </w:tc>
        <w:tc>
          <w:tcPr>
            <w:tcW w:type="dxa" w:w="626"/>
            <w:tcBorders>
              <w:bottom w:val="single" w:sz="2" w:space="0" w:color="B9C4BD"/>
            </w:tcBorders>
          </w:tcPr>
          <w:p>
            <w:pPr>
              <w:keepNext/>
              <w:spacing w:before="30" w:after="30"/>
              <w:jc w:val="center"/>
            </w:pPr>
            <w:r/>
            <w:r>
              <w:rPr>
                <w:b w:val="0"/>
                <w:i w:val="0"/>
                <w:sz w:val="18"/>
              </w:rPr>
              <w:t>●</w:t>
            </w:r>
          </w:p>
        </w:tc>
        <w:tc>
          <w:tcPr>
            <w:tcW w:type="dxa" w:w="626"/>
            <w:tcBorders>
              <w:bottom w:val="single" w:sz="2" w:space="0" w:color="B9C4BD"/>
            </w:tcBorders>
          </w:tcPr>
          <w:p>
            <w:pPr>
              <w:keepNext/>
              <w:spacing w:before="30" w:after="30"/>
              <w:jc w:val="center"/>
            </w:pPr>
            <w:r/>
            <w:r>
              <w:rPr>
                <w:b w:val="0"/>
                <w:i w:val="0"/>
                <w:sz w:val="18"/>
              </w:rPr>
              <w:t>●</w:t>
            </w:r>
          </w:p>
        </w:tc>
        <w:tc>
          <w:tcPr>
            <w:tcW w:type="dxa" w:w="821"/>
            <w:tcBorders>
              <w:bottom w:val="single" w:sz="2" w:space="0" w:color="B9C4BD"/>
            </w:tcBorders>
          </w:tcPr>
          <w:p>
            <w:pPr>
              <w:keepNext/>
              <w:spacing w:before="30" w:after="30"/>
              <w:jc w:val="center"/>
            </w:pPr>
            <w:r/>
            <w:r>
              <w:rPr>
                <w:b w:val="0"/>
                <w:i w:val="0"/>
                <w:sz w:val="18"/>
              </w:rPr>
              <w:t>●</w:t>
            </w:r>
          </w:p>
        </w:tc>
        <w:tc>
          <w:tcPr>
            <w:tcW w:type="dxa" w:w="929"/>
            <w:tcBorders>
              <w:bottom w:val="single" w:sz="2" w:space="0" w:color="B9C4BD"/>
            </w:tcBorders>
          </w:tcPr>
          <w:p>
            <w:pPr>
              <w:keepNext/>
              <w:spacing w:before="30" w:after="30"/>
              <w:jc w:val="center"/>
            </w:pPr>
            <w:r/>
            <w:r>
              <w:rPr>
                <w:b w:val="0"/>
                <w:i w:val="0"/>
                <w:sz w:val="18"/>
              </w:rPr>
              <w:t>● / •</w:t>
            </w:r>
          </w:p>
        </w:tc>
        <w:tc>
          <w:tcPr>
            <w:tcW w:type="dxa" w:w="1296"/>
            <w:tcBorders>
              <w:bottom w:val="single" w:sz="2" w:space="0" w:color="B9C4BD"/>
            </w:tcBorders>
          </w:tcPr>
          <w:p>
            <w:pPr>
              <w:keepNext/>
              <w:spacing w:before="30" w:after="30"/>
              <w:jc w:val="center"/>
            </w:pPr>
            <w:r/>
            <w:r>
              <w:rPr>
                <w:b w:val="0"/>
                <w:i w:val="0"/>
                <w:sz w:val="18"/>
              </w:rPr>
              <w:t>○</w:t>
            </w:r>
          </w:p>
        </w:tc>
        <w:tc>
          <w:tcPr>
            <w:tcW w:type="dxa" w:w="1555"/>
            <w:tcBorders>
              <w:bottom w:val="single" w:sz="2" w:space="0" w:color="B9C4BD"/>
            </w:tcBorders>
          </w:tcPr>
          <w:p>
            <w:pPr>
              <w:keepNext/>
              <w:spacing w:before="30" w:after="30"/>
              <w:jc w:val="center"/>
            </w:pPr>
            <w:r/>
            <w:r>
              <w:rPr>
                <w:b w:val="0"/>
                <w:i w:val="0"/>
                <w:sz w:val="18"/>
              </w:rPr>
              <w:t>•</w:t>
            </w:r>
          </w:p>
        </w:tc>
      </w:tr>
      <w:tr>
        <w:tc>
          <w:tcPr>
            <w:tcW w:type="dxa" w:w="1782"/>
            <w:tcBorders>
              <w:bottom w:val="single" w:sz="2" w:space="0" w:color="B9C4BD"/>
            </w:tcBorders>
          </w:tcPr>
          <w:p>
            <w:pPr>
              <w:keepNext/>
              <w:spacing w:before="30" w:after="30"/>
              <w:jc w:val="left"/>
            </w:pPr>
            <w:r/>
            <w:r>
              <w:rPr>
                <w:b/>
                <w:i w:val="0"/>
                <w:color w:val="14453F"/>
                <w:sz w:val="18"/>
              </w:rPr>
              <w:t>Digital and hybrid navigation</w:t>
            </w:r>
          </w:p>
        </w:tc>
        <w:tc>
          <w:tcPr>
            <w:tcW w:type="dxa" w:w="2408"/>
            <w:tcBorders>
              <w:bottom w:val="single" w:sz="2" w:space="0" w:color="B9C4BD"/>
            </w:tcBorders>
          </w:tcPr>
          <w:p>
            <w:pPr>
              <w:keepNext/>
              <w:spacing w:before="30" w:after="30"/>
              <w:jc w:val="left"/>
            </w:pPr>
            <w:r/>
            <w:r>
              <w:rPr>
                <w:b w:val="0"/>
                <w:i w:val="0"/>
                <w:sz w:val="18"/>
              </w:rPr>
              <w:t>Wellthy; Homethrive; Cariloop</w:t>
            </w:r>
          </w:p>
        </w:tc>
        <w:tc>
          <w:tcPr>
            <w:tcW w:type="dxa" w:w="756"/>
            <w:tcBorders>
              <w:bottom w:val="single" w:sz="2" w:space="0" w:color="B9C4BD"/>
            </w:tcBorders>
          </w:tcPr>
          <w:p>
            <w:pPr>
              <w:keepNext/>
              <w:spacing w:before="30" w:after="30"/>
              <w:jc w:val="center"/>
            </w:pPr>
            <w:r/>
            <w:r>
              <w:rPr>
                <w:b w:val="0"/>
                <w:i w:val="0"/>
                <w:sz w:val="18"/>
              </w:rPr>
              <w:t>●</w:t>
            </w:r>
          </w:p>
        </w:tc>
        <w:tc>
          <w:tcPr>
            <w:tcW w:type="dxa" w:w="626"/>
            <w:tcBorders>
              <w:bottom w:val="single" w:sz="2" w:space="0" w:color="B9C4BD"/>
            </w:tcBorders>
          </w:tcPr>
          <w:p>
            <w:pPr>
              <w:keepNext/>
              <w:spacing w:before="30" w:after="30"/>
              <w:jc w:val="center"/>
            </w:pPr>
            <w:r/>
            <w:r>
              <w:rPr>
                <w:b w:val="0"/>
                <w:i w:val="0"/>
                <w:sz w:val="18"/>
              </w:rPr>
              <w:t>●</w:t>
            </w:r>
          </w:p>
        </w:tc>
        <w:tc>
          <w:tcPr>
            <w:tcW w:type="dxa" w:w="626"/>
            <w:tcBorders>
              <w:bottom w:val="single" w:sz="2" w:space="0" w:color="B9C4BD"/>
            </w:tcBorders>
          </w:tcPr>
          <w:p>
            <w:pPr>
              <w:keepNext/>
              <w:spacing w:before="30" w:after="30"/>
              <w:jc w:val="center"/>
            </w:pPr>
            <w:r/>
            <w:r>
              <w:rPr>
                <w:b w:val="0"/>
                <w:i w:val="0"/>
                <w:sz w:val="18"/>
              </w:rPr>
              <w:t>●</w:t>
            </w:r>
          </w:p>
        </w:tc>
        <w:tc>
          <w:tcPr>
            <w:tcW w:type="dxa" w:w="821"/>
            <w:tcBorders>
              <w:bottom w:val="single" w:sz="2" w:space="0" w:color="B9C4BD"/>
            </w:tcBorders>
          </w:tcPr>
          <w:p>
            <w:pPr>
              <w:keepNext/>
              <w:spacing w:before="30" w:after="30"/>
              <w:jc w:val="center"/>
            </w:pPr>
            <w:r/>
            <w:r>
              <w:rPr>
                <w:b w:val="0"/>
                <w:i w:val="0"/>
                <w:sz w:val="18"/>
              </w:rPr>
              <w:t>●</w:t>
            </w:r>
          </w:p>
        </w:tc>
        <w:tc>
          <w:tcPr>
            <w:tcW w:type="dxa" w:w="929"/>
            <w:tcBorders>
              <w:bottom w:val="single" w:sz="2" w:space="0" w:color="B9C4BD"/>
            </w:tcBorders>
          </w:tcPr>
          <w:p>
            <w:pPr>
              <w:keepNext/>
              <w:spacing w:before="30" w:after="30"/>
              <w:jc w:val="center"/>
            </w:pPr>
            <w:r/>
            <w:r>
              <w:rPr>
                <w:b w:val="0"/>
                <w:i w:val="0"/>
                <w:sz w:val="18"/>
              </w:rPr>
              <w:t>● / •</w:t>
            </w:r>
          </w:p>
        </w:tc>
        <w:tc>
          <w:tcPr>
            <w:tcW w:type="dxa" w:w="1296"/>
            <w:tcBorders>
              <w:bottom w:val="single" w:sz="2" w:space="0" w:color="B9C4BD"/>
            </w:tcBorders>
          </w:tcPr>
          <w:p>
            <w:pPr>
              <w:keepNext/>
              <w:spacing w:before="30" w:after="30"/>
              <w:jc w:val="center"/>
            </w:pPr>
            <w:r/>
            <w:r>
              <w:rPr>
                <w:b w:val="0"/>
                <w:i w:val="0"/>
                <w:sz w:val="18"/>
              </w:rPr>
              <w:t>○</w:t>
            </w:r>
          </w:p>
        </w:tc>
        <w:tc>
          <w:tcPr>
            <w:tcW w:type="dxa" w:w="1555"/>
            <w:tcBorders>
              <w:bottom w:val="single" w:sz="2" w:space="0" w:color="B9C4BD"/>
            </w:tcBorders>
          </w:tcPr>
          <w:p>
            <w:pPr>
              <w:keepNext/>
              <w:spacing w:before="30" w:after="30"/>
              <w:jc w:val="center"/>
            </w:pPr>
            <w:r/>
            <w:r>
              <w:rPr>
                <w:b w:val="0"/>
                <w:i w:val="0"/>
                <w:sz w:val="18"/>
              </w:rPr>
              <w:t>•</w:t>
            </w:r>
          </w:p>
        </w:tc>
      </w:tr>
      <w:tr>
        <w:tc>
          <w:tcPr>
            <w:tcW w:type="dxa" w:w="1782"/>
            <w:tcBorders>
              <w:bottom w:val="single" w:sz="2" w:space="0" w:color="B9C4BD"/>
            </w:tcBorders>
          </w:tcPr>
          <w:p>
            <w:pPr>
              <w:keepNext/>
              <w:spacing w:before="30" w:after="30"/>
              <w:jc w:val="left"/>
            </w:pPr>
            <w:r/>
            <w:r>
              <w:rPr>
                <w:b/>
                <w:i w:val="0"/>
                <w:color w:val="14453F"/>
                <w:sz w:val="18"/>
              </w:rPr>
              <w:t>Senior-care referral marketplaces</w:t>
            </w:r>
          </w:p>
        </w:tc>
        <w:tc>
          <w:tcPr>
            <w:tcW w:type="dxa" w:w="2408"/>
            <w:tcBorders>
              <w:bottom w:val="single" w:sz="2" w:space="0" w:color="B9C4BD"/>
            </w:tcBorders>
          </w:tcPr>
          <w:p>
            <w:pPr>
              <w:keepNext/>
              <w:spacing w:before="30" w:after="30"/>
              <w:jc w:val="left"/>
            </w:pPr>
            <w:r/>
            <w:r>
              <w:rPr>
                <w:b w:val="0"/>
                <w:i w:val="0"/>
                <w:sz w:val="18"/>
              </w:rPr>
              <w:t>A Place for Mom; Caring.com</w:t>
            </w:r>
          </w:p>
        </w:tc>
        <w:tc>
          <w:tcPr>
            <w:tcW w:type="dxa" w:w="756"/>
            <w:tcBorders>
              <w:bottom w:val="single" w:sz="2" w:space="0" w:color="B9C4BD"/>
            </w:tcBorders>
          </w:tcPr>
          <w:p>
            <w:pPr>
              <w:keepNext/>
              <w:spacing w:before="30" w:after="30"/>
              <w:jc w:val="center"/>
            </w:pPr>
            <w:r/>
            <w:r>
              <w:rPr>
                <w:b w:val="0"/>
                <w:i w:val="0"/>
                <w:sz w:val="18"/>
              </w:rPr>
              <w:t>•</w:t>
            </w:r>
          </w:p>
        </w:tc>
        <w:tc>
          <w:tcPr>
            <w:tcW w:type="dxa" w:w="626"/>
            <w:tcBorders>
              <w:bottom w:val="single" w:sz="2" w:space="0" w:color="B9C4BD"/>
            </w:tcBorders>
          </w:tcPr>
          <w:p>
            <w:pPr>
              <w:keepNext/>
              <w:spacing w:before="30" w:after="30"/>
              <w:jc w:val="center"/>
            </w:pPr>
            <w:r/>
            <w:r>
              <w:rPr>
                <w:b w:val="0"/>
                <w:i w:val="0"/>
                <w:sz w:val="18"/>
              </w:rPr>
              <w:t>●</w:t>
            </w:r>
          </w:p>
        </w:tc>
        <w:tc>
          <w:tcPr>
            <w:tcW w:type="dxa" w:w="626"/>
            <w:tcBorders>
              <w:bottom w:val="single" w:sz="2" w:space="0" w:color="B9C4BD"/>
            </w:tcBorders>
          </w:tcPr>
          <w:p>
            <w:pPr>
              <w:keepNext/>
              <w:spacing w:before="30" w:after="30"/>
              <w:jc w:val="center"/>
            </w:pPr>
            <w:r/>
            <w:r>
              <w:rPr>
                <w:b w:val="0"/>
                <w:i w:val="0"/>
                <w:sz w:val="18"/>
              </w:rPr>
              <w:t>○</w:t>
            </w:r>
          </w:p>
        </w:tc>
        <w:tc>
          <w:tcPr>
            <w:tcW w:type="dxa" w:w="821"/>
            <w:tcBorders>
              <w:bottom w:val="single" w:sz="2" w:space="0" w:color="B9C4BD"/>
            </w:tcBorders>
          </w:tcPr>
          <w:p>
            <w:pPr>
              <w:keepNext/>
              <w:spacing w:before="30" w:after="30"/>
              <w:jc w:val="center"/>
            </w:pPr>
            <w:r/>
            <w:r>
              <w:rPr>
                <w:b w:val="0"/>
                <w:i w:val="0"/>
                <w:sz w:val="18"/>
              </w:rPr>
              <w:t>•</w:t>
            </w:r>
          </w:p>
        </w:tc>
        <w:tc>
          <w:tcPr>
            <w:tcW w:type="dxa" w:w="929"/>
            <w:tcBorders>
              <w:bottom w:val="single" w:sz="2" w:space="0" w:color="B9C4BD"/>
            </w:tcBorders>
          </w:tcPr>
          <w:p>
            <w:pPr>
              <w:keepNext/>
              <w:spacing w:before="30" w:after="30"/>
              <w:jc w:val="center"/>
            </w:pPr>
            <w:r/>
            <w:r>
              <w:rPr>
                <w:b w:val="0"/>
                <w:i w:val="0"/>
                <w:sz w:val="18"/>
              </w:rPr>
              <w:t>•</w:t>
            </w:r>
          </w:p>
        </w:tc>
        <w:tc>
          <w:tcPr>
            <w:tcW w:type="dxa" w:w="1296"/>
            <w:tcBorders>
              <w:bottom w:val="single" w:sz="2" w:space="0" w:color="B9C4BD"/>
            </w:tcBorders>
          </w:tcPr>
          <w:p>
            <w:pPr>
              <w:keepNext/>
              <w:spacing w:before="30" w:after="30"/>
              <w:jc w:val="center"/>
            </w:pPr>
            <w:r/>
            <w:r>
              <w:rPr>
                <w:b w:val="0"/>
                <w:i w:val="0"/>
                <w:sz w:val="18"/>
              </w:rPr>
              <w:t>○</w:t>
            </w:r>
          </w:p>
        </w:tc>
        <w:tc>
          <w:tcPr>
            <w:tcW w:type="dxa" w:w="1555"/>
            <w:tcBorders>
              <w:bottom w:val="single" w:sz="2" w:space="0" w:color="B9C4BD"/>
            </w:tcBorders>
          </w:tcPr>
          <w:p>
            <w:pPr>
              <w:keepNext/>
              <w:spacing w:before="30" w:after="30"/>
              <w:jc w:val="center"/>
            </w:pPr>
            <w:r/>
            <w:r>
              <w:rPr>
                <w:b w:val="0"/>
                <w:i w:val="0"/>
                <w:sz w:val="18"/>
              </w:rPr>
              <w:t>•</w:t>
            </w:r>
          </w:p>
        </w:tc>
      </w:tr>
      <w:tr>
        <w:tc>
          <w:tcPr>
            <w:tcW w:type="dxa" w:w="1782"/>
            <w:tcBorders>
              <w:bottom w:val="single" w:sz="2" w:space="0" w:color="B9C4BD"/>
            </w:tcBorders>
          </w:tcPr>
          <w:p>
            <w:pPr>
              <w:keepNext/>
              <w:spacing w:before="30" w:after="30"/>
              <w:jc w:val="left"/>
            </w:pPr>
            <w:r/>
            <w:r>
              <w:rPr>
                <w:b/>
                <w:i w:val="0"/>
                <w:color w:val="14453F"/>
                <w:sz w:val="18"/>
              </w:rPr>
              <w:t>Workforce recruitment</w:t>
            </w:r>
          </w:p>
        </w:tc>
        <w:tc>
          <w:tcPr>
            <w:tcW w:type="dxa" w:w="2408"/>
            <w:tcBorders>
              <w:bottom w:val="single" w:sz="2" w:space="0" w:color="B9C4BD"/>
            </w:tcBorders>
          </w:tcPr>
          <w:p>
            <w:pPr>
              <w:keepNext/>
              <w:spacing w:before="30" w:after="30"/>
              <w:jc w:val="left"/>
            </w:pPr>
            <w:r/>
            <w:r>
              <w:rPr>
                <w:b w:val="0"/>
                <w:i w:val="0"/>
                <w:sz w:val="18"/>
              </w:rPr>
              <w:t>Indeed; myCNAjobs; staffing agencies; referrals</w:t>
            </w:r>
          </w:p>
        </w:tc>
        <w:tc>
          <w:tcPr>
            <w:tcW w:type="dxa" w:w="756"/>
            <w:tcBorders>
              <w:bottom w:val="single" w:sz="2" w:space="0" w:color="B9C4BD"/>
            </w:tcBorders>
          </w:tcPr>
          <w:p>
            <w:pPr>
              <w:keepNext/>
              <w:spacing w:before="30" w:after="30"/>
              <w:jc w:val="center"/>
            </w:pPr>
            <w:r/>
            <w:r>
              <w:rPr>
                <w:b w:val="0"/>
                <w:i w:val="0"/>
                <w:sz w:val="18"/>
              </w:rPr>
              <w:t>○</w:t>
            </w:r>
          </w:p>
        </w:tc>
        <w:tc>
          <w:tcPr>
            <w:tcW w:type="dxa" w:w="626"/>
            <w:tcBorders>
              <w:bottom w:val="single" w:sz="2" w:space="0" w:color="B9C4BD"/>
            </w:tcBorders>
          </w:tcPr>
          <w:p>
            <w:pPr>
              <w:keepNext/>
              <w:spacing w:before="30" w:after="30"/>
              <w:jc w:val="center"/>
            </w:pPr>
            <w:r/>
            <w:r>
              <w:rPr>
                <w:b w:val="0"/>
                <w:i w:val="0"/>
                <w:sz w:val="18"/>
              </w:rPr>
              <w:t>○</w:t>
            </w:r>
          </w:p>
        </w:tc>
        <w:tc>
          <w:tcPr>
            <w:tcW w:type="dxa" w:w="626"/>
            <w:tcBorders>
              <w:bottom w:val="single" w:sz="2" w:space="0" w:color="B9C4BD"/>
            </w:tcBorders>
          </w:tcPr>
          <w:p>
            <w:pPr>
              <w:keepNext/>
              <w:spacing w:before="30" w:after="30"/>
              <w:jc w:val="center"/>
            </w:pPr>
            <w:r/>
            <w:r>
              <w:rPr>
                <w:b w:val="0"/>
                <w:i w:val="0"/>
                <w:sz w:val="18"/>
              </w:rPr>
              <w:t>○</w:t>
            </w:r>
          </w:p>
        </w:tc>
        <w:tc>
          <w:tcPr>
            <w:tcW w:type="dxa" w:w="821"/>
            <w:tcBorders>
              <w:bottom w:val="single" w:sz="2" w:space="0" w:color="B9C4BD"/>
            </w:tcBorders>
          </w:tcPr>
          <w:p>
            <w:pPr>
              <w:keepNext/>
              <w:spacing w:before="30" w:after="30"/>
              <w:jc w:val="center"/>
            </w:pPr>
            <w:r/>
            <w:r>
              <w:rPr>
                <w:b w:val="0"/>
                <w:i w:val="0"/>
                <w:sz w:val="18"/>
              </w:rPr>
              <w:t>○</w:t>
            </w:r>
          </w:p>
        </w:tc>
        <w:tc>
          <w:tcPr>
            <w:tcW w:type="dxa" w:w="929"/>
            <w:tcBorders>
              <w:bottom w:val="single" w:sz="2" w:space="0" w:color="B9C4BD"/>
            </w:tcBorders>
          </w:tcPr>
          <w:p>
            <w:pPr>
              <w:keepNext/>
              <w:spacing w:before="30" w:after="30"/>
              <w:jc w:val="center"/>
            </w:pPr>
            <w:r/>
            <w:r>
              <w:rPr>
                <w:b w:val="0"/>
                <w:i w:val="0"/>
                <w:sz w:val="18"/>
              </w:rPr>
              <w:t>○</w:t>
            </w:r>
          </w:p>
        </w:tc>
        <w:tc>
          <w:tcPr>
            <w:tcW w:type="dxa" w:w="1296"/>
            <w:tcBorders>
              <w:bottom w:val="single" w:sz="2" w:space="0" w:color="B9C4BD"/>
            </w:tcBorders>
          </w:tcPr>
          <w:p>
            <w:pPr>
              <w:keepNext/>
              <w:spacing w:before="30" w:after="30"/>
              <w:jc w:val="center"/>
            </w:pPr>
            <w:r/>
            <w:r>
              <w:rPr>
                <w:b w:val="0"/>
                <w:i w:val="0"/>
                <w:sz w:val="18"/>
              </w:rPr>
              <w:t>●</w:t>
            </w:r>
          </w:p>
        </w:tc>
        <w:tc>
          <w:tcPr>
            <w:tcW w:type="dxa" w:w="1555"/>
            <w:tcBorders>
              <w:bottom w:val="single" w:sz="2" w:space="0" w:color="B9C4BD"/>
            </w:tcBorders>
          </w:tcPr>
          <w:p>
            <w:pPr>
              <w:keepNext/>
              <w:spacing w:before="30" w:after="30"/>
              <w:jc w:val="center"/>
            </w:pPr>
            <w:r/>
            <w:r>
              <w:rPr>
                <w:b w:val="0"/>
                <w:i w:val="0"/>
                <w:sz w:val="18"/>
              </w:rPr>
              <w:t>○</w:t>
            </w:r>
          </w:p>
        </w:tc>
      </w:tr>
      <w:tr>
        <w:tc>
          <w:tcPr>
            <w:tcW w:type="dxa" w:w="1782"/>
            <w:shd w:val="clear" w:color="auto" w:fill="EEF3F1"/>
            <w:tcBorders>
              <w:bottom w:val="single" w:sz="8" w:space="0" w:color="14453F"/>
            </w:tcBorders>
          </w:tcPr>
          <w:p>
            <w:pPr>
              <w:spacing w:before="30" w:after="30"/>
              <w:jc w:val="left"/>
            </w:pPr>
            <w:r/>
            <w:r>
              <w:rPr>
                <w:b/>
                <w:i w:val="0"/>
                <w:color w:val="14453F"/>
                <w:sz w:val="18"/>
              </w:rPr>
              <w:t>Olera after the CRP</w:t>
            </w:r>
          </w:p>
        </w:tc>
        <w:tc>
          <w:tcPr>
            <w:tcW w:type="dxa" w:w="2408"/>
            <w:shd w:val="clear" w:color="auto" w:fill="EEF3F1"/>
            <w:tcBorders>
              <w:bottom w:val="single" w:sz="8" w:space="0" w:color="14453F"/>
            </w:tcBorders>
          </w:tcPr>
          <w:p>
            <w:pPr>
              <w:spacing w:before="30" w:after="30"/>
              <w:jc w:val="left"/>
            </w:pPr>
            <w:r/>
            <w:r>
              <w:rPr>
                <w:b w:val="0"/>
                <w:i w:val="0"/>
                <w:sz w:val="18"/>
              </w:rPr>
              <w:t>CareNavigator with Caregiver Staffing</w:t>
            </w:r>
          </w:p>
        </w:tc>
        <w:tc>
          <w:tcPr>
            <w:tcW w:type="dxa" w:w="756"/>
            <w:shd w:val="clear" w:color="auto" w:fill="EEF3F1"/>
            <w:tcBorders>
              <w:bottom w:val="single" w:sz="8" w:space="0" w:color="14453F"/>
            </w:tcBorders>
          </w:tcPr>
          <w:p>
            <w:pPr>
              <w:spacing w:before="30" w:after="30"/>
              <w:jc w:val="center"/>
            </w:pPr>
            <w:r/>
            <w:r>
              <w:rPr>
                <w:b w:val="0"/>
                <w:i w:val="0"/>
                <w:sz w:val="18"/>
              </w:rPr>
              <w:t>●</w:t>
            </w:r>
          </w:p>
        </w:tc>
        <w:tc>
          <w:tcPr>
            <w:tcW w:type="dxa" w:w="626"/>
            <w:shd w:val="clear" w:color="auto" w:fill="EEF3F1"/>
            <w:tcBorders>
              <w:bottom w:val="single" w:sz="8" w:space="0" w:color="14453F"/>
            </w:tcBorders>
          </w:tcPr>
          <w:p>
            <w:pPr>
              <w:spacing w:before="30" w:after="30"/>
              <w:jc w:val="center"/>
            </w:pPr>
            <w:r/>
            <w:r>
              <w:rPr>
                <w:b w:val="0"/>
                <w:i w:val="0"/>
                <w:sz w:val="18"/>
              </w:rPr>
              <w:t>●</w:t>
            </w:r>
          </w:p>
        </w:tc>
        <w:tc>
          <w:tcPr>
            <w:tcW w:type="dxa" w:w="626"/>
            <w:shd w:val="clear" w:color="auto" w:fill="EEF3F1"/>
            <w:tcBorders>
              <w:bottom w:val="single" w:sz="8" w:space="0" w:color="14453F"/>
            </w:tcBorders>
          </w:tcPr>
          <w:p>
            <w:pPr>
              <w:spacing w:before="30" w:after="30"/>
              <w:jc w:val="center"/>
            </w:pPr>
            <w:r/>
            <w:r>
              <w:rPr>
                <w:b w:val="0"/>
                <w:i w:val="0"/>
                <w:sz w:val="18"/>
              </w:rPr>
              <w:t>●</w:t>
            </w:r>
          </w:p>
        </w:tc>
        <w:tc>
          <w:tcPr>
            <w:tcW w:type="dxa" w:w="821"/>
            <w:shd w:val="clear" w:color="auto" w:fill="EEF3F1"/>
            <w:tcBorders>
              <w:bottom w:val="single" w:sz="8" w:space="0" w:color="14453F"/>
            </w:tcBorders>
          </w:tcPr>
          <w:p>
            <w:pPr>
              <w:spacing w:before="30" w:after="30"/>
              <w:jc w:val="center"/>
            </w:pPr>
            <w:r/>
            <w:r>
              <w:rPr>
                <w:b w:val="0"/>
                <w:i w:val="0"/>
                <w:sz w:val="18"/>
              </w:rPr>
              <w:t>●</w:t>
            </w:r>
          </w:p>
        </w:tc>
        <w:tc>
          <w:tcPr>
            <w:tcW w:type="dxa" w:w="929"/>
            <w:shd w:val="clear" w:color="auto" w:fill="EEF3F1"/>
            <w:tcBorders>
              <w:bottom w:val="single" w:sz="8" w:space="0" w:color="14453F"/>
            </w:tcBorders>
          </w:tcPr>
          <w:p>
            <w:pPr>
              <w:spacing w:before="30" w:after="30"/>
              <w:jc w:val="center"/>
            </w:pPr>
            <w:r/>
            <w:r>
              <w:rPr>
                <w:b w:val="0"/>
                <w:i w:val="0"/>
                <w:sz w:val="18"/>
              </w:rPr>
              <w:t>●</w:t>
            </w:r>
          </w:p>
        </w:tc>
        <w:tc>
          <w:tcPr>
            <w:tcW w:type="dxa" w:w="1296"/>
            <w:shd w:val="clear" w:color="auto" w:fill="EEF3F1"/>
            <w:tcBorders>
              <w:bottom w:val="single" w:sz="8" w:space="0" w:color="14453F"/>
            </w:tcBorders>
          </w:tcPr>
          <w:p>
            <w:pPr>
              <w:spacing w:before="30" w:after="30"/>
              <w:jc w:val="center"/>
            </w:pPr>
            <w:r/>
            <w:r>
              <w:rPr>
                <w:b w:val="0"/>
                <w:i w:val="0"/>
                <w:sz w:val="18"/>
              </w:rPr>
              <w:t>●</w:t>
            </w:r>
          </w:p>
        </w:tc>
        <w:tc>
          <w:tcPr>
            <w:tcW w:type="dxa" w:w="1555"/>
            <w:shd w:val="clear" w:color="auto" w:fill="EEF3F1"/>
            <w:tcBorders>
              <w:bottom w:val="single" w:sz="8" w:space="0" w:color="14453F"/>
            </w:tcBorders>
          </w:tcPr>
          <w:p>
            <w:pPr>
              <w:spacing w:before="30" w:after="30"/>
              <w:jc w:val="center"/>
            </w:pPr>
            <w:r/>
            <w:r>
              <w:rPr>
                <w:b w:val="0"/>
                <w:i w:val="0"/>
                <w:sz w:val="18"/>
              </w:rPr>
              <w:t>●</w:t>
            </w:r>
          </w:p>
        </w:tc>
      </w:tr>
    </w:tbl>
    <w:p>
      <w:pPr>
        <w:spacing w:before="40" w:after="120"/>
        <w:jc w:val="left"/>
      </w:pPr>
      <w:r>
        <w:rPr>
          <w:b/>
          <w:i w:val="0"/>
          <w:sz w:val="18"/>
        </w:rPr>
        <w:t>Table 2.</w:t>
      </w:r>
      <w:r>
        <w:rPr>
          <w:b w:val="0"/>
          <w:i w:val="0"/>
          <w:sz w:val="18"/>
        </w:rPr>
        <w:t xml:space="preserve"> Competitive alternatives across the care-establishment pathway. ● core capability · • partial or variable · ○ not typical. New workforce means adding people to direct care rather than moving them between employers; open access means family access does not require institutional sponsorship and provider participation does not require payment for referrals.</w:t>
      </w:r>
    </w:p>
    <w:p>
      <w:pPr>
        <w:spacing w:before="160" w:after="60"/>
        <w:jc w:val="both"/>
      </w:pPr>
      <w:r>
        <w:rPr>
          <w:b w:val="0"/>
          <w:i w:val="0"/>
        </w:rPr>
        <w:t>Olera is designed from first principles backward from the endpoint that matters: established care before unmet need feeds the vicious cycle. The first step is to instrument the full pathway so CareNavigator can measure where, why, and how quickly care establishment succeeds or fails, and target interventions to the failure points and communities where they are needed most. Four architectural advantages follow.</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5400"/>
        <w:gridCol w:w="5400"/>
      </w:tblGrid>
      <w:tr>
        <w:tc>
          <w:tcPr>
            <w:tcW w:type="dxa" w:w="5400"/>
            <w:tcBorders>
              <w:top w:val="single" w:sz="6" w:space="0" w:color="B9C4BD"/>
            </w:tcBorders>
          </w:tcPr>
          <w:p>
            <w:pPr>
              <w:spacing w:before="30" w:after="30"/>
              <w:jc w:val="left"/>
            </w:pPr>
            <w:r/>
            <w:r>
              <w:rPr>
                <w:b/>
                <w:i w:val="0"/>
                <w:color w:val="14453F"/>
                <w:sz w:val="18"/>
              </w:rPr>
              <w:t>Digital scale.</w:t>
            </w:r>
            <w:r>
              <w:rPr>
                <w:b w:val="0"/>
                <w:i w:val="0"/>
                <w:sz w:val="18"/>
              </w:rPr>
              <w:t xml:space="preserve"> The pathway can be screened and navigated across populations through the open web and mobile applications, with further distribution through institutional partners.</w:t>
            </w:r>
          </w:p>
        </w:tc>
        <w:tc>
          <w:tcPr>
            <w:tcW w:type="dxa" w:w="5400"/>
            <w:tcBorders>
              <w:top w:val="single" w:sz="6" w:space="0" w:color="B9C4BD"/>
            </w:tcBorders>
          </w:tcPr>
          <w:p>
            <w:pPr>
              <w:spacing w:before="30" w:after="30"/>
              <w:jc w:val="left"/>
            </w:pPr>
            <w:r/>
            <w:r>
              <w:rPr>
                <w:b/>
                <w:i w:val="0"/>
                <w:color w:val="14453F"/>
                <w:sz w:val="18"/>
              </w:rPr>
              <w:t>Open pathway.</w:t>
            </w:r>
            <w:r>
              <w:rPr>
                <w:b w:val="0"/>
                <w:i w:val="0"/>
                <w:sz w:val="18"/>
              </w:rPr>
              <w:t xml:space="preserve"> Families can enter without payment or institutional sponsorship and providers can participate without paying for referrals, preserving broad, neutral participation while giving the instrumented pathway visibility across more families and providers.</w:t>
            </w:r>
          </w:p>
        </w:tc>
      </w:tr>
      <w:tr>
        <w:tc>
          <w:tcPr>
            <w:tcW w:type="dxa" w:w="5400"/>
            <w:tcBorders>
              <w:top w:val="single" w:sz="6" w:space="0" w:color="B9C4BD"/>
            </w:tcBorders>
          </w:tcPr>
          <w:p>
            <w:pPr>
              <w:spacing w:before="30" w:after="30"/>
              <w:jc w:val="left"/>
            </w:pPr>
            <w:r/>
            <w:r>
              <w:rPr>
                <w:b/>
                <w:i w:val="0"/>
                <w:color w:val="14453F"/>
                <w:sz w:val="18"/>
              </w:rPr>
              <w:t>Demand and capacity.</w:t>
            </w:r>
            <w:r>
              <w:rPr>
                <w:b w:val="0"/>
                <w:i w:val="0"/>
                <w:sz w:val="18"/>
              </w:rPr>
              <w:t xml:space="preserve"> CareNavigator can connect providers at no referral cost with families whose needs, funding options, and service fit have been characterized. Caregiver Staffing can mobilize new, deliberately targeted labor pools rather than only redistribute scarce workers, while remaining independently useful to providers regardless of where their demand originates. Pathway data can further identify where workforce shortages are blocking care.</w:t>
            </w:r>
          </w:p>
        </w:tc>
        <w:tc>
          <w:tcPr>
            <w:tcW w:type="dxa" w:w="5400"/>
            <w:tcBorders>
              <w:top w:val="single" w:sz="6" w:space="0" w:color="B9C4BD"/>
            </w:tcBorders>
          </w:tcPr>
          <w:p>
            <w:pPr>
              <w:spacing w:before="30" w:after="30"/>
              <w:jc w:val="left"/>
            </w:pPr>
            <w:r/>
            <w:r>
              <w:rPr>
                <w:b/>
                <w:i w:val="0"/>
                <w:color w:val="14453F"/>
                <w:sz w:val="18"/>
              </w:rPr>
              <w:t>Accountability and evidence.</w:t>
            </w:r>
            <w:r>
              <w:rPr>
                <w:b w:val="0"/>
                <w:i w:val="0"/>
                <w:sz w:val="18"/>
              </w:rPr>
              <w:t xml:space="preserve"> Olera follows the case to the meaningful endpoint of established care rather than ending wherever an individual service's function ends, creating evidence about whether the pathway worked, where it failed, and how long it took.</w:t>
            </w:r>
          </w:p>
        </w:tc>
      </w:tr>
    </w:tbl>
    <w:p>
      <w:pPr>
        <w:spacing w:before="160" w:after="60"/>
        <w:jc w:val="both"/>
      </w:pPr>
      <w:r>
        <w:rPr>
          <w:b w:val="0"/>
          <w:i w:val="0"/>
        </w:rPr>
        <w:t>Together, these advantages are designed to increase the effective capacity of the eldercare system to turn recognized needs into established care. For families, that means more pathways to funded services and established care; for providers, qualified demand and new workforce capacity; and for risk-bearing institutions, an evidence-generating intervention against the costly consequences of failed care establishment. The CRP tests whether these proposed advantages are real, measurable, and commercially meaningful.</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40" w:lineRule="auto"/>
      <w:jc w:val="both"/>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