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Bdr>
          <w:bottom w:val="single" w:sz="12" w:space="2" w:color="000000"/>
        </w:pBdr>
      </w:pPr>
      <w:r>
        <w:rPr>
          <w:b/>
        </w:rPr>
        <w:t>4. MARKET, CUSTOMER, AND COMPETITION</w:t>
      </w:r>
    </w:p>
    <w:p>
      <w:pPr>
        <w:spacing w:before="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 Families remain users rather than customers: CareNavigator stays free to them.</w:t>
      </w:r>
    </w:p>
    <w:p>
      <w:pPr>
        <w:spacing w:before="160" w:after="60"/>
        <w:jc w:val="both"/>
      </w:pPr>
      <w:r>
        <w:rPr>
          <w:b/>
          <w:i w:val="0"/>
        </w:rPr>
        <w:t>Caregiver Staffing addresses an unusually persistent provider problem.</w:t>
      </w:r>
      <w:r>
        <w:rPr>
          <w:b w:val="0"/>
          <w:i w:val="0"/>
        </w:rPr>
        <w:t xml:space="preserve"> The United States employed approximately 4.35 million home health and personal care aides in 2024, with roughly 766,000 openings projected each year from 2024–2034; home-care benchmarking separately reported 75% median professional-caregiver turnover in 2024.</w:t>
      </w:r>
      <w:r>
        <w:rPr>
          <w:b w:val="0"/>
          <w:i w:val="0"/>
          <w:vertAlign w:val="superscript"/>
        </w:rPr>
        <w:t>26,27</w:t>
      </w:r>
      <w:r>
        <w:rPr>
          <w:b w:val="0"/>
          <w:i w:val="0"/>
        </w:rPr>
        <w:t xml:space="preserve"> The problem directly constrains growth: 63.3% of surveyed home-care providers reported turning down cases because of staffing shortages in 2023.</w:t>
      </w:r>
      <w:r>
        <w:rPr>
          <w:b w:val="0"/>
          <w:i w:val="0"/>
          <w:vertAlign w:val="superscript"/>
        </w:rPr>
        <w:t>28</w:t>
      </w:r>
      <w:r>
        <w:rPr>
          <w:b w:val="0"/>
          <w:i w:val="0"/>
        </w:rPr>
        <w:t xml:space="preserve"> Non-medical home care is therefore Olera's initial provider beachhead, with expansion potential across home health, assisted living, hospice, skilled nursing, and other organizations that employ direct-care workers.</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vertAlign w:val="superscript"/>
        </w:rPr>
        <w:t>29,30</w:t>
      </w:r>
      <w:r>
        <w:rPr>
          <w:b w:val="0"/>
          <w:i w:val="0"/>
        </w:rPr>
        <w:t xml:space="preserve"> CMS's active GUIDE Model further validates the purchasing logic: Medicare is already testing and paying for dementia care navigation, community-resource connection, and caregiver support with explicit goals of reducing hospitalization, delaying nursing-home placement, and reducing Medicare and Medicaid expenditures.</w:t>
      </w:r>
      <w:r>
        <w:rPr>
          <w:b w:val="0"/>
          <w:i w:val="0"/>
          <w:vertAlign w:val="superscript"/>
        </w:rPr>
        <w:t>31</w:t>
      </w:r>
      <w:r>
        <w:rPr>
          <w:b w:val="0"/>
          <w:i w:val="0"/>
        </w:rPr>
        <w:t xml:space="preserve"> Olera does not assume these populations are immediately serviceable revenue; rather, they establish the scale of risk-bearing organizations for which CRP-generated care-establishment and longitudinal outcomes evidence could create a contracting pathway.</w:t>
      </w:r>
    </w:p>
    <w:p>
      <w:pPr>
        <w:keepNext/>
        <w:spacing w:before="120" w:after="40"/>
        <w:jc w:val="center"/>
      </w:pPr>
      <w:r>
        <w:drawing>
          <wp:inline xmlns:a="http://schemas.openxmlformats.org/drawingml/2006/main" xmlns:pic="http://schemas.openxmlformats.org/drawingml/2006/picture">
            <wp:extent cx="6583680" cy="2275915"/>
            <wp:docPr id="1" name="Picture 1"/>
            <wp:cNvGraphicFramePr>
              <a:graphicFrameLocks noChangeAspect="1"/>
            </wp:cNvGraphicFramePr>
            <a:graphic>
              <a:graphicData uri="http://schemas.openxmlformats.org/drawingml/2006/picture">
                <pic:pic>
                  <pic:nvPicPr>
                    <pic:cNvPr id="0" name="fig7.png"/>
                    <pic:cNvPicPr/>
                  </pic:nvPicPr>
                  <pic:blipFill>
                    <a:blip r:embed="rId9"/>
                    <a:stretch>
                      <a:fillRect/>
                    </a:stretch>
                  </pic:blipFill>
                  <pic:spPr>
                    <a:xfrm>
                      <a:off x="0" y="0"/>
                      <a:ext cx="6583680" cy="2275915"/>
                    </a:xfrm>
                    <a:prstGeom prst="rect"/>
                  </pic:spPr>
                </pic:pic>
              </a:graphicData>
            </a:graphic>
          </wp:inline>
        </w:drawing>
      </w:r>
    </w:p>
    <w:p>
      <w:pPr>
        <w:spacing w:after="120"/>
        <w:jc w:val="left"/>
      </w:pPr>
      <w:r>
        <w:rPr>
          <w:b/>
          <w:i w:val="0"/>
          <w:sz w:val="18"/>
        </w:rPr>
        <w:t>Figure 7.</w:t>
      </w:r>
      <w:r>
        <w:rPr>
          <w:b w:val="0"/>
          <w:i w:val="0"/>
          <w:sz w:val="18"/>
        </w:rPr>
        <w:t xml:space="preserve"> Olera's provider beachhead addresses a recurring staffing expenditure today; the larger CareNavigator opportunity opens as CRP evidence establishes value for organizations bearing downstream healthcare risk.</w:t>
      </w:r>
    </w:p>
    <w:p>
      <w:pPr>
        <w:spacing w:before="160" w:after="60"/>
        <w:jc w:val="both"/>
      </w:pPr>
      <w:r>
        <w:rPr>
          <w:b/>
          <w:i w:val="0"/>
        </w:rPr>
        <w:t>Market opportunity and path to meaningful scale.</w:t>
      </w:r>
      <w:r>
        <w:rPr>
          <w:b w:val="0"/>
          <w:i w:val="0"/>
        </w:rPr>
        <w:t xml:space="preserve"> The two markets should not be reduced to a single speculative TAM.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Because both markets contain large numbers of providers or covered lives, Olera does not require dominant market share for commercial sustainability. Section 10 models post-CRP economics using observed CRP conversion, pricing, and operating data rather than assuming a final price in advance.</w:t>
      </w:r>
    </w:p>
    <w:p>
      <w:pPr>
        <w:spacing w:before="160" w:after="60"/>
        <w:jc w:val="both"/>
      </w:pPr>
      <w:r>
        <w:rPr>
          <w:b/>
          <w:i w:val="0"/>
        </w:rPr>
        <w:t>Significant advantages and competitive position.</w:t>
      </w:r>
      <w:r>
        <w:rPr>
          <w:b w:val="0"/>
          <w:i w:val="0"/>
        </w:rPr>
        <w:t xml:space="preserve"> Sections 1 and 2 established why existing navigation approaches fail to carry families reliably through the full care-establishment pathway.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top w:val="single" w:sz="6" w:space="0" w:color="B9C4BD"/>
            </w:tcBorders>
          </w:tcPr>
          <w:p>
            <w:pPr>
              <w:spacing w:before="30" w:after="30"/>
              <w:jc w:val="left"/>
            </w:pPr>
            <w:r/>
            <w:r>
              <w:rPr>
                <w:b/>
                <w:i w:val="0"/>
                <w:color w:val="14453F"/>
                <w:sz w:val="18"/>
              </w:rPr>
              <w:t>1. End-to-end execution</w:t>
            </w:r>
            <w:r>
              <w:rPr>
                <w:b/>
                <w:i w:val="0"/>
                <w:color w:val="14453F"/>
                <w:sz w:val="18"/>
              </w:rPr>
              <w:t>CareNavigator integrates assessment, care identification, funding, AI-agent execution, staffing when needed, and longitudinal outcomes rather than optimizing a single step.</w:t>
            </w:r>
          </w:p>
        </w:tc>
        <w:tc>
          <w:tcPr>
            <w:tcW w:type="dxa" w:w="5400"/>
            <w:tcBorders>
              <w:top w:val="single" w:sz="6" w:space="0" w:color="B9C4BD"/>
            </w:tcBorders>
          </w:tcPr>
          <w:p>
            <w:pPr>
              <w:spacing w:before="30" w:after="30"/>
              <w:jc w:val="left"/>
            </w:pPr>
            <w:r/>
            <w:r>
              <w:rPr>
                <w:b/>
                <w:i w:val="0"/>
                <w:color w:val="14453F"/>
                <w:sz w:val="18"/>
              </w:rPr>
              <w:t>2. New workforce supply</w:t>
            </w:r>
            <w:r>
              <w:rPr>
                <w:b/>
                <w:i w:val="0"/>
                <w:color w:val="14453F"/>
                <w:sz w:val="18"/>
              </w:rPr>
              <w:t>Caregiver Staffing is designed to create an easier pathway into direct care, not merely redistribute workers already circulating among providers.</w:t>
            </w:r>
          </w:p>
        </w:tc>
      </w:tr>
      <w:tr>
        <w:tc>
          <w:tcPr>
            <w:tcW w:type="dxa" w:w="5400"/>
            <w:tcBorders>
              <w:top w:val="single" w:sz="6" w:space="0" w:color="B9C4BD"/>
            </w:tcBorders>
          </w:tcPr>
          <w:p>
            <w:pPr>
              <w:spacing w:before="30" w:after="30"/>
              <w:jc w:val="left"/>
            </w:pPr>
            <w:r/>
            <w:r>
              <w:rPr>
                <w:b/>
                <w:i w:val="0"/>
                <w:color w:val="14453F"/>
                <w:sz w:val="18"/>
              </w:rPr>
              <w:t>3. Distribution and local data</w:t>
            </w:r>
            <w:r>
              <w:rPr>
                <w:b/>
                <w:i w:val="0"/>
                <w:color w:val="14453F"/>
                <w:sz w:val="18"/>
              </w:rPr>
              <w:t>Organic family demand, a national provider and benefits infrastructure, and county-level care-establishment and outcomes data compound as the platform is used.</w:t>
            </w:r>
          </w:p>
        </w:tc>
        <w:tc>
          <w:tcPr>
            <w:tcW w:type="dxa" w:w="5400"/>
            <w:tcBorders>
              <w:top w:val="single" w:sz="6" w:space="0" w:color="B9C4BD"/>
            </w:tcBorders>
          </w:tcPr>
          <w:p>
            <w:pPr>
              <w:spacing w:before="30" w:after="30"/>
              <w:jc w:val="left"/>
            </w:pPr>
            <w:r/>
            <w:r>
              <w:rPr>
                <w:b/>
                <w:i w:val="0"/>
                <w:color w:val="14453F"/>
                <w:sz w:val="18"/>
              </w:rPr>
              <w:t>4. AI interoperability</w:t>
            </w:r>
            <w:r>
              <w:rPr>
                <w:b/>
                <w:i w:val="0"/>
                <w:color w:val="14453F"/>
                <w:sz w:val="18"/>
              </w:rPr>
              <w:t>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vertAlign w:val="superscript"/>
        </w:rPr>
        <w:t>32,33</w:t>
      </w:r>
      <w:r>
        <w:rPr>
          <w:b w:val="0"/>
          <w:i w:val="0"/>
        </w:rPr>
        <w:t xml:space="preserve"> These figures do not represent the full addressable workforce; they demonstrate the scale of only two readily measured pipelines before PA, PT, OT, pharmacy, allied-health, other nursing pathways, and students preparing to apply are considered. Olera's pilot experience also indicates interest from undergraduates outside pre-health pathways. Over time, the same university infrastructure can reach other students seeking flexible, meaningful paid work through career centers and related campus channels, and the workforce-entry system is designed to extend to career changers and other new entrants to the field.</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vertAlign w:val="superscript"/>
        </w:rPr>
        <w:t>34</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 The wedge is attractive because the work can provide patient-care experience and income, can fit evenings, weekends, summers, and gap years, and is geographically replicable through colleges and universities nationwide.</w:t>
      </w:r>
    </w:p>
    <w:p>
      <w:pPr>
        <w:spacing w:before="160" w:after="60"/>
        <w:jc w:val="both"/>
      </w:pPr>
      <w:r>
        <w:rPr>
          <w:b/>
          <w:i w:val="0"/>
        </w:rPr>
        <w:t>Current and emerging competition.</w:t>
      </w:r>
      <w:r>
        <w:rPr>
          <w:b w:val="0"/>
          <w:i w:val="0"/>
        </w:rPr>
        <w:t xml:space="preserve"> </w:t>
      </w:r>
      <w:r>
        <w:rPr>
          <w:b w:val="0"/>
          <w:i/>
        </w:rPr>
        <w:t>For Caregiver Staffing,</w:t>
      </w:r>
      <w:r>
        <w:rPr>
          <w:b w:val="0"/>
          <w:i w:val="0"/>
        </w:rPr>
        <w:t xml:space="preserve"> Olera competes across categories rather than against a single end-to-end incumbent. Provider staffing alternatives include large job boards like Indeed, staffing agencies, caregiver-specific recruiting platforms, and emerging student-caregiver models such as CareYaya. </w:t>
      </w:r>
      <w:r>
        <w:rPr>
          <w:b w:val="0"/>
          <w:i/>
        </w:rPr>
        <w:t>For CareNavigator,</w:t>
      </w:r>
      <w:r>
        <w:rPr>
          <w:b w:val="0"/>
          <w:i w:val="0"/>
        </w:rPr>
        <w:t xml:space="preserve"> alternatives include government and nonprofit resource directories, patient navigators, social workers and care managers, eldercare referral platforms like A Place for Mom or Caring.com, and increasingly general-purpose AI and search where families ask eldercare-related questions. Incumbents may add AI, execution, or staffing capabilities over the next several years, and general-purpose AI systems will become more capable at answering eldercare questions. Olera's response is to compete where domain-specific infrastructure matters most: verified local provider and benefits data, execution of real administrative workflows, workforce-capacity creation, confirmation of care establishment, and longitudinal outcome records. Where general-purpose AI or search becomes the family's preferred interface, Olera's strategy is interoperability that allows those interfaces to call CareNavigator's data and execution capabilities rather than requiring Olera to own every point of discovery.</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240"/>
        <w:gridCol w:w="7560"/>
      </w:tblGrid>
      <w:tr>
        <w:tc>
          <w:tcPr>
            <w:tcW w:type="dxa" w:w="3240"/>
            <w:tcBorders>
              <w:bottom w:val="single" w:sz="8" w:space="0" w:color="14453F"/>
            </w:tcBorders>
          </w:tcPr>
          <w:p>
            <w:pPr>
              <w:spacing w:before="30" w:after="30"/>
              <w:jc w:val="left"/>
            </w:pPr>
            <w:r/>
            <w:r>
              <w:rPr>
                <w:b/>
                <w:i w:val="0"/>
                <w:color w:val="14453F"/>
                <w:sz w:val="18"/>
              </w:rPr>
              <w:t>Commercial hurdle</w:t>
            </w:r>
          </w:p>
        </w:tc>
        <w:tc>
          <w:tcPr>
            <w:tcW w:type="dxa" w:w="7560"/>
            <w:tcBorders>
              <w:bottom w:val="single" w:sz="8" w:space="0" w:color="14453F"/>
            </w:tcBorders>
          </w:tcPr>
          <w:p>
            <w:pPr>
              <w:spacing w:before="30" w:after="30"/>
              <w:jc w:val="left"/>
            </w:pPr>
            <w:r/>
            <w:r>
              <w:rPr>
                <w:b/>
                <w:i w:val="0"/>
                <w:color w:val="14453F"/>
                <w:sz w:val="18"/>
              </w:rPr>
              <w:t>How the CRP retires it</w:t>
            </w:r>
          </w:p>
        </w:tc>
      </w:tr>
      <w:tr>
        <w:tc>
          <w:tcPr>
            <w:tcW w:type="dxa" w:w="3240"/>
            <w:tcBorders>
              <w:bottom w:val="single" w:sz="2" w:space="0" w:color="B9C4BD"/>
            </w:tcBorders>
          </w:tcPr>
          <w:p>
            <w:pPr>
              <w:spacing w:before="30" w:after="30"/>
              <w:jc w:val="left"/>
            </w:pPr>
            <w:r/>
            <w:r>
              <w:rPr>
                <w:b/>
                <w:i w:val="0"/>
                <w:color w:val="14453F"/>
                <w:sz w:val="18"/>
              </w:rPr>
              <w:t>Will providers pay?</w:t>
            </w:r>
          </w:p>
        </w:tc>
        <w:tc>
          <w:tcPr>
            <w:tcW w:type="dxa" w:w="756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3240"/>
            <w:tcBorders>
              <w:bottom w:val="single" w:sz="2" w:space="0" w:color="B9C4BD"/>
            </w:tcBorders>
          </w:tcPr>
          <w:p>
            <w:pPr>
              <w:spacing w:before="30" w:after="30"/>
              <w:jc w:val="left"/>
            </w:pPr>
            <w:r/>
            <w:r>
              <w:rPr>
                <w:b/>
                <w:i w:val="0"/>
                <w:color w:val="14453F"/>
                <w:sz w:val="18"/>
              </w:rPr>
              <w:t>Can new workforce supply replicate?</w:t>
            </w:r>
          </w:p>
        </w:tc>
        <w:tc>
          <w:tcPr>
            <w:tcW w:type="dxa" w:w="756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3240"/>
            <w:tcBorders>
              <w:bottom w:val="single" w:sz="2" w:space="0" w:color="B9C4BD"/>
            </w:tcBorders>
          </w:tcPr>
          <w:p>
            <w:pPr>
              <w:spacing w:before="30" w:after="30"/>
              <w:jc w:val="left"/>
            </w:pPr>
            <w:r/>
            <w:r>
              <w:rPr>
                <w:b/>
                <w:i w:val="0"/>
                <w:color w:val="14453F"/>
                <w:sz w:val="18"/>
              </w:rPr>
              <w:t>Will institutions value the evidence?</w:t>
            </w:r>
          </w:p>
        </w:tc>
        <w:tc>
          <w:tcPr>
            <w:tcW w:type="dxa" w:w="756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prospective institutional buyers.</w:t>
            </w:r>
          </w:p>
        </w:tc>
      </w:tr>
      <w:tr>
        <w:tc>
          <w:tcPr>
            <w:tcW w:type="dxa" w:w="3240"/>
            <w:tcBorders>
              <w:bottom w:val="single" w:sz="2" w:space="0" w:color="B9C4BD"/>
            </w:tcBorders>
          </w:tcPr>
          <w:p>
            <w:pPr>
              <w:spacing w:before="30" w:after="30"/>
              <w:jc w:val="left"/>
            </w:pPr>
            <w:r/>
            <w:r>
              <w:rPr>
                <w:b/>
                <w:i w:val="0"/>
                <w:color w:val="14453F"/>
                <w:sz w:val="18"/>
              </w:rPr>
              <w:t>Can AI execution be trusted?</w:t>
            </w:r>
          </w:p>
        </w:tc>
        <w:tc>
          <w:tcPr>
            <w:tcW w:type="dxa" w:w="756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longitudinal records.</w:t>
            </w:r>
          </w:p>
        </w:tc>
      </w:tr>
      <w:tr>
        <w:tc>
          <w:tcPr>
            <w:tcW w:type="dxa" w:w="3240"/>
            <w:tcBorders>
              <w:bottom w:val="single" w:sz="8" w:space="0" w:color="14453F"/>
            </w:tcBorders>
          </w:tcPr>
          <w:p>
            <w:pPr>
              <w:spacing w:before="30" w:after="30"/>
              <w:jc w:val="left"/>
            </w:pPr>
            <w:r/>
            <w:r>
              <w:rPr>
                <w:b/>
                <w:i w:val="0"/>
                <w:color w:val="14453F"/>
                <w:sz w:val="18"/>
              </w:rPr>
              <w:t>Can the model scale geographically?</w:t>
            </w:r>
          </w:p>
        </w:tc>
        <w:tc>
          <w:tcPr>
            <w:tcW w:type="dxa" w:w="756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4.</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Its existing national provider database and organic family traffic provide additional distribution infrastructure, while academic and commercialization advisors connect the company to senior-care operators, payers, investors, and strategic partners. These relationships reduce the distance between local validation and larger regional or enterprise opportunities.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CRP converts successful local deployments into evidence, case studies, and repeatable commercial playbooks that can support larger provider and institutional relationships. The detailed acquisition channels, sales process, production infrastructure, and post-CRP scaling plan are presented in the Production and Marketing Plan (Section 9).</w:t>
      </w:r>
    </w:p>
    <w:p>
      <w:pPr>
        <w:spacing w:before="160" w:after="60"/>
        <w:jc w:val="both"/>
      </w:pPr>
      <w:r>
        <w:rPr>
          <w:b w:val="0"/>
          <w:i w:val="0"/>
        </w:rPr>
        <w:t>Taken together, Olera is entering two commercially substantial markets from a differentiated position: a provider market with an immediate, recurring staffing problem that, if solved, addresses a key step in the care-establishment pathway; and an institutional market in which payment becomes possible as CareNavigator proves that earlier care establishment creates outcomes and economic value. The remaining risks are measurable, the CRP is designed to address them, and Olera already has distribution and partnership footholds from which to scale.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